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22F" w:rsidRPr="0031198F" w:rsidRDefault="00AA422F">
      <w:r w:rsidRPr="0031198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46.25pt">
            <v:imagedata r:id="rId5" o:title=""/>
          </v:shape>
        </w:pic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27"/>
        <w:gridCol w:w="4928"/>
      </w:tblGrid>
      <w:tr w:rsidR="00AA422F">
        <w:tc>
          <w:tcPr>
            <w:tcW w:w="4927" w:type="dxa"/>
          </w:tcPr>
          <w:p w:rsidR="00AA422F" w:rsidRDefault="00AA422F">
            <w:pPr>
              <w:jc w:val="both"/>
              <w:rPr>
                <w:sz w:val="28"/>
                <w:szCs w:val="28"/>
              </w:rPr>
            </w:pPr>
          </w:p>
        </w:tc>
        <w:tc>
          <w:tcPr>
            <w:tcW w:w="4928" w:type="dxa"/>
          </w:tcPr>
          <w:p w:rsidR="00AA422F" w:rsidRDefault="00AA422F">
            <w:pPr>
              <w:jc w:val="both"/>
              <w:rPr>
                <w:sz w:val="28"/>
                <w:szCs w:val="28"/>
              </w:rPr>
            </w:pPr>
            <w:r>
              <w:rPr>
                <w:sz w:val="28"/>
                <w:szCs w:val="28"/>
              </w:rPr>
              <w:t>УТВЕРЖДЕНЫ</w:t>
            </w:r>
          </w:p>
          <w:p w:rsidR="00AA422F" w:rsidRDefault="00AA422F">
            <w:pPr>
              <w:jc w:val="both"/>
              <w:rPr>
                <w:bCs/>
                <w:sz w:val="28"/>
                <w:szCs w:val="28"/>
              </w:rPr>
            </w:pPr>
            <w:r>
              <w:rPr>
                <w:sz w:val="28"/>
                <w:szCs w:val="28"/>
              </w:rPr>
              <w:t xml:space="preserve"> решением Лебяжинского сельского Совета депутатов </w:t>
            </w:r>
            <w:r>
              <w:rPr>
                <w:bCs/>
                <w:sz w:val="28"/>
                <w:szCs w:val="28"/>
              </w:rPr>
              <w:t>Егорьевского района Алтайского края</w:t>
            </w:r>
          </w:p>
          <w:p w:rsidR="00AA422F" w:rsidRDefault="00AA422F">
            <w:pPr>
              <w:jc w:val="both"/>
              <w:rPr>
                <w:sz w:val="28"/>
                <w:szCs w:val="28"/>
              </w:rPr>
            </w:pPr>
            <w:r>
              <w:rPr>
                <w:bCs/>
                <w:sz w:val="28"/>
                <w:szCs w:val="28"/>
              </w:rPr>
              <w:t xml:space="preserve"> от </w:t>
            </w:r>
            <w:r>
              <w:rPr>
                <w:sz w:val="28"/>
                <w:szCs w:val="28"/>
              </w:rPr>
              <w:t>19 октября 2017 года  № 44</w:t>
            </w:r>
          </w:p>
        </w:tc>
      </w:tr>
    </w:tbl>
    <w:p w:rsidR="00AA422F" w:rsidRDefault="00AA422F" w:rsidP="00434EF1">
      <w:pPr>
        <w:pStyle w:val="ConsPlusNormal"/>
        <w:jc w:val="both"/>
      </w:pPr>
    </w:p>
    <w:p w:rsidR="00AA422F" w:rsidRDefault="00AA422F" w:rsidP="00434EF1">
      <w:pPr>
        <w:pStyle w:val="ConsPlusNormal"/>
        <w:jc w:val="both"/>
      </w:pPr>
    </w:p>
    <w:p w:rsidR="00AA422F" w:rsidRDefault="00AA422F" w:rsidP="00434EF1">
      <w:pPr>
        <w:pStyle w:val="ConsPlusNormal"/>
        <w:jc w:val="both"/>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Нормативы</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градостроительного проектирования муниципального образования Лебяжинский сельсовет  Егорьевского района Алтайского края</w:t>
      </w:r>
    </w:p>
    <w:p w:rsidR="00AA422F" w:rsidRDefault="00AA422F" w:rsidP="00434EF1">
      <w:pPr>
        <w:pStyle w:val="ConsPlusNormal"/>
        <w:jc w:val="both"/>
        <w:rPr>
          <w:rFonts w:ascii="Times New Roman" w:hAnsi="Times New Roman" w:cs="Times New Roman"/>
          <w:sz w:val="28"/>
          <w:szCs w:val="28"/>
        </w:rPr>
      </w:pPr>
      <w:bookmarkStart w:id="0" w:name="Par34"/>
      <w:bookmarkEnd w:id="0"/>
    </w:p>
    <w:p w:rsidR="00AA422F" w:rsidRDefault="00AA422F" w:rsidP="00434EF1">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Общие положения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r>
        <w:rPr>
          <w:rFonts w:ascii="Times New Roman" w:hAnsi="Times New Roman" w:cs="Times New Roman"/>
          <w:sz w:val="28"/>
          <w:szCs w:val="28"/>
        </w:rPr>
        <w:t>Нормативы градостроительного проектирования муниципального образования Лебяжинский сельсовет  Егорьевского района Алтайского края (далее – «нормативы») разработаны в соответствии с требованиями Градостроительного кодекса Российской Федерации, закона Алтайского края от 29.12.2009 N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муниципального образования Лебяжинский сельсовет  Егорьевского района Алтайского края.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и Алтайского края социальных гарантий граждан, включая маломобильные группы населения.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Нормативы включают в себя:</w:t>
      </w:r>
    </w:p>
    <w:p w:rsidR="00AA422F" w:rsidRDefault="00AA422F" w:rsidP="00434EF1">
      <w:pPr>
        <w:pStyle w:val="ConsPlusNormal"/>
        <w:numPr>
          <w:ilvl w:val="0"/>
          <w:numId w:val="2"/>
        </w:numPr>
        <w:jc w:val="both"/>
        <w:rPr>
          <w:rFonts w:ascii="Times New Roman" w:hAnsi="Times New Roman" w:cs="Times New Roman"/>
          <w:sz w:val="28"/>
          <w:szCs w:val="28"/>
        </w:rPr>
      </w:pPr>
      <w:r>
        <w:rPr>
          <w:rFonts w:ascii="Times New Roman" w:hAnsi="Times New Roman" w:cs="Times New Roman"/>
          <w:sz w:val="28"/>
          <w:szCs w:val="28"/>
        </w:rPr>
        <w:t>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образования Лебяжинский сельсовет  Егорьевского района Алтайского края и расчетные показатели максимально допустимого уровня территориальной доступности таких объектов;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материалы по обоснованию расчетных показателей, содержащихся в основной части нормативов;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правила и область применения расчетных показателей, содержащихся в основной части нормативов.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Основные термины и определения, примененные в настоящих нормативах, приведены в Приложении А.</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Основная часть</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I. Общая организация и зонирование территории</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 Лебяжинский сельсовет  Егорьевского района Алтайского края</w:t>
      </w:r>
    </w:p>
    <w:p w:rsidR="00AA422F" w:rsidRDefault="00AA422F" w:rsidP="00434EF1">
      <w:pPr>
        <w:pStyle w:val="ConsPlusNormal"/>
        <w:jc w:val="center"/>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1. Административно-территориальное устройство,</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планировочная организация территории</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 Лебяжинский сельсовет  Егорьевского района Алтайского края</w:t>
      </w:r>
    </w:p>
    <w:p w:rsidR="00AA422F" w:rsidRDefault="00AA422F" w:rsidP="00434EF1">
      <w:pPr>
        <w:ind w:firstLine="720"/>
        <w:jc w:val="both"/>
        <w:rPr>
          <w:sz w:val="28"/>
          <w:szCs w:val="28"/>
        </w:rPr>
      </w:pPr>
      <w:r>
        <w:rPr>
          <w:sz w:val="28"/>
          <w:szCs w:val="28"/>
        </w:rPr>
        <w:t xml:space="preserve">1.1. Территория муниципального образования Лебяжинский сельсовет Егорьевского района Алтайского края  составляет 26 749, </w:t>
      </w:r>
      <w:smartTag w:uri="urn:schemas-microsoft-com:office:smarttags" w:element="metricconverter">
        <w:smartTagPr>
          <w:attr w:name="ProductID" w:val="39 га"/>
        </w:smartTagPr>
        <w:r>
          <w:rPr>
            <w:sz w:val="28"/>
            <w:szCs w:val="28"/>
          </w:rPr>
          <w:t>39 га</w:t>
        </w:r>
      </w:smartTag>
      <w:r>
        <w:rPr>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1.2. При определении перспектив развития следует учитывать:</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местоположение поселения в системе расселения муниципального района;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роль поселения в системе формируемых центров обслуживания населения (районного и местного уровня);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историко-культурное значение и национально-бытовые особенности поселения;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прогноз социально-экономического развития территории;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численность населения на расчетный срок;</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санитарно-эпидемиологическую и экологическую обстановку на планируемых к развитию территории;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 сведения об объектах культурного наследия.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 Муниципальное образование Лебяжинский сельсовет  Егорьевского района Алтайского края относится к большому типу муниципальных образований с численностью населения от 1 до 3 тыс. человек.</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1.4. Элементами планировочной организации территории муниципального образования Лебяжинский сельсовет Егорьевского района Алтайского края являются: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земли населенных пунктов и иных категорий;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функциональные зоны;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зоны с особыми условиями использования территорий;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земельные участки под объектами капитального строительства, в том числе линейными;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элементы планировочной структуры (планировочные районы, микрорайоны, кварталы);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 иные элементы планировочной организации территорий, определяемые в соответствии с законодательством.</w:t>
      </w:r>
    </w:p>
    <w:p w:rsidR="00AA422F" w:rsidRDefault="00AA422F" w:rsidP="00434EF1">
      <w:pPr>
        <w:ind w:firstLine="720"/>
        <w:jc w:val="both"/>
        <w:rPr>
          <w:sz w:val="28"/>
          <w:szCs w:val="28"/>
        </w:rPr>
      </w:pPr>
      <w:r>
        <w:rPr>
          <w:sz w:val="28"/>
          <w:szCs w:val="28"/>
        </w:rPr>
        <w:t>1.5. Схема территориального планирования муниципального образования Лебяжинский сельсовет Егорьевского района Алтайского края,</w:t>
      </w:r>
    </w:p>
    <w:p w:rsidR="00AA422F" w:rsidRDefault="00AA422F" w:rsidP="00434EF1">
      <w:pPr>
        <w:ind w:firstLine="720"/>
        <w:jc w:val="both"/>
      </w:pPr>
      <w:r>
        <w:rPr>
          <w:sz w:val="28"/>
          <w:szCs w:val="28"/>
        </w:rPr>
        <w:t xml:space="preserve">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утверждаются на срок не менее чем двадцать лет. В иных случаях указанные схема территориального планирования утверждается на срок не менее чем десять лет. Генеральный  план муниципального образования утверждается на срок не менее чем двадцать лет.</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 Численность населения на расчетный срок следует определять на основе данных о перспективах развития муниципального образования в системе расселения с учетом демографического прогноза естественного и механического прироста населения и маятниковых миграций.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1.7. В населенных пунктах муниципального образования Лебяжинский сельсовет Егорьевского района Алтайского края, подверженных опасному воздействию природных и техногенных факторов, при зонировании территории муниципального образования  необходимо учитывать установленные техническими регламентами ограничения на размещение зданий и сооружений.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населенных пунктах муниципального образования Лебяжинский сельсовет Егорьевского района Алтайского края, сейсмичностью 7 и 8 баллов зонирование территории поселения следует предусматривать с учетом требований главы 31 настоящих нормативов соответственно.</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 При подготовке документов территориального планирования и документации по планировке территории муниципального образования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1.9. Планировочную структуру муниципального образования следует формировать, предусматривая: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компактное размещение и взаимосвязь территориальных зон с учетом их допустимой совместимости;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охрану окружающей среды, объектов культурного наследия;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 охрану недр и рациональное использование природных ресурсов;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 условия для беспрепятственного доступа инвалидов к объектам социальной, транспортной и инженерной инфраструктур (жилым, общественным и производственным зданиям, строениям и сооружениям, включая те, в которых расположены объекты физкультурно-оздоровительного, культурного и социального назначения), к местам отдыха и к предоставляемым в них услугам в соответствии с требованиями нормативных документов;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 возможность самостоятельного передвижения инвалидов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 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 Планировочную структуру жилых зон следует формировать в увязке с зонированием и планировочной структурой муниципального образования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объекты гаражного назначения.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придорожного сервиса, объектов инженерной и транспортной инфраструктур, в том числе сооружений и коммуникаций автомобильного транспорта, связи, а также для установления санитарно-защитных зон таких объектов в соответствии с требованиями технических регламентов.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1.16. В состав зон рекреационного назначения могут включаться зоны в границах территорий, занятых скверами, парками, садами, прудами, озерами, пляжами,</w:t>
      </w:r>
      <w:r>
        <w:rPr>
          <w:sz w:val="28"/>
          <w:szCs w:val="28"/>
        </w:rPr>
        <w:t xml:space="preserve"> </w:t>
      </w:r>
      <w:r>
        <w:rPr>
          <w:rFonts w:ascii="Times New Roman" w:hAnsi="Times New Roman" w:cs="Times New Roman"/>
          <w:sz w:val="28"/>
          <w:szCs w:val="28"/>
        </w:rPr>
        <w:t>объектами гостиничного обслуживания,</w:t>
      </w:r>
      <w:r>
        <w:rPr>
          <w:rFonts w:ascii="Times New Roman" w:hAnsi="Times New Roman" w:cs="Times New Roman"/>
          <w:sz w:val="24"/>
          <w:szCs w:val="24"/>
        </w:rPr>
        <w:t xml:space="preserve"> </w:t>
      </w:r>
      <w:r>
        <w:rPr>
          <w:rFonts w:ascii="Times New Roman" w:hAnsi="Times New Roman" w:cs="Times New Roman"/>
          <w:sz w:val="28"/>
          <w:szCs w:val="28"/>
        </w:rPr>
        <w:t>объектами природно-познавательного туризма, а также в границах иных территорий, используемых и предназначенных для отдыха, туризма, занятий физической культурой и спортом, охоты и рыбалки .</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1.18. В состав зон специального назначения могут включаться зоны, занятые кладбищами,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1.20. Функциональные зоны и параметры их планируемого развития, определенные документами территориального планирования  муниципального образования Лебяжинский сельсовет Егорьевского района Алтайского края,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2. Жилые зоны.</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Общие требования и расчетные показатели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 В жилых зонах размещаются жилые дома разных типов для постоянного проживания граждан: многоквартирные дома,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 В жилых зонах допускается размещение: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транспортной и инженерной инфраструктуры, необходимой для обеспечения жизнедеятельности населения.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при средней этажности жилой застройки до 3 этажей - 10 га для застройки без земельных участков и 20 га - для застройки с участком; для индивидуальной усадебной жилой застройкой - 40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муниципальном образовании Лебяжинский сельсовет Егорьевского района Алтайского края. Для жилья повышенной комфортности норма жилищной обеспеченности определяется заказчиком-застройщиком в задании на проектирование.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2.7. Территории жилой зоны организуются в виде следующих элементов планировочной структуры: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(кроме дошкольных образовательных и общеобразовательных организаций,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жилой район формируется как группа микрорайонов (кварталов), как правило, в пределах территории, ограниченной магистралями, естественными рубежами (река, лес и др.); площадь территории района не должна превышать 250 га; в пределах территории жилого района размещаются организации с радиусом обслуживания населения не более 1500 м, а также часть объектов районного значения.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2.8. В муниципальном  образовании Лебяжинский сельсовет Егорьевского района Алтайского края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поселения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 В сельском поселении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2.10. Расчетную плотность населения (чел./га) территории микрорайона рекомендуется принимать не менее приведенной в таблице 1, а территории жилого района - не менее приведенной в таблице 2. При этом расчетная плотность населения микрорайонов не должна превышать 450 чел./га.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2.11.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bookmarkStart w:id="1" w:name="Par162"/>
      <w:bookmarkEnd w:id="1"/>
      <w:r>
        <w:rPr>
          <w:rFonts w:ascii="Times New Roman" w:hAnsi="Times New Roman" w:cs="Times New Roman"/>
          <w:sz w:val="28"/>
          <w:szCs w:val="28"/>
        </w:rPr>
        <w:t>Таблица 1</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810"/>
        <w:gridCol w:w="4584"/>
      </w:tblGrid>
      <w:tr w:rsidR="00AA422F">
        <w:tc>
          <w:tcPr>
            <w:tcW w:w="481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Зона различной степени градостроительной ценности территории</w:t>
            </w:r>
          </w:p>
        </w:tc>
        <w:tc>
          <w:tcPr>
            <w:tcW w:w="45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Плотность населения на территорию микрорайона, чел./га</w:t>
            </w:r>
          </w:p>
        </w:tc>
      </w:tr>
      <w:tr w:rsidR="00AA422F">
        <w:tc>
          <w:tcPr>
            <w:tcW w:w="481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Высокая</w:t>
            </w:r>
          </w:p>
        </w:tc>
        <w:tc>
          <w:tcPr>
            <w:tcW w:w="45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420</w:t>
            </w:r>
          </w:p>
        </w:tc>
      </w:tr>
      <w:tr w:rsidR="00AA422F">
        <w:tc>
          <w:tcPr>
            <w:tcW w:w="481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Средняя</w:t>
            </w:r>
          </w:p>
        </w:tc>
        <w:tc>
          <w:tcPr>
            <w:tcW w:w="45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350</w:t>
            </w:r>
          </w:p>
        </w:tc>
      </w:tr>
      <w:tr w:rsidR="00AA422F">
        <w:tc>
          <w:tcPr>
            <w:tcW w:w="481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Низкая</w:t>
            </w:r>
          </w:p>
        </w:tc>
        <w:tc>
          <w:tcPr>
            <w:tcW w:w="45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200</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В крупных населенных пунктах при применении высокоплотной 2-, 3-этажной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В сейсмических районах расчетную плотность населения необходимо принимать с учетом требований СП 14.13330.2014.</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position w:val="-22"/>
          <w:sz w:val="28"/>
          <w:szCs w:val="28"/>
        </w:rPr>
        <w:pict>
          <v:shape id="_x0000_i1026" type="#_x0000_t75" style="width:64.5pt;height:30pt">
            <v:imagedata r:id="rId6" o:title=""/>
          </v:shape>
        </w:pict>
      </w:r>
      <w:r>
        <w:rPr>
          <w:rFonts w:ascii="Times New Roman" w:hAnsi="Times New Roman" w:cs="Times New Roman"/>
          <w:sz w:val="28"/>
          <w:szCs w:val="28"/>
        </w:rPr>
        <w:t xml:space="preserve"> где:</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w:t>
      </w:r>
      <w:r>
        <w:rPr>
          <w:rFonts w:ascii="Times New Roman" w:hAnsi="Times New Roman" w:cs="Times New Roman"/>
          <w:sz w:val="28"/>
          <w:szCs w:val="28"/>
          <w:vertAlign w:val="subscript"/>
        </w:rPr>
        <w:t>20</w:t>
      </w:r>
      <w:r>
        <w:rPr>
          <w:rFonts w:ascii="Times New Roman" w:hAnsi="Times New Roman" w:cs="Times New Roman"/>
          <w:sz w:val="28"/>
          <w:szCs w:val="28"/>
        </w:rPr>
        <w:t xml:space="preserve"> - показатель плотности населения при жилищной обеспеченности 20 кв. м/чел.;</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 - расчетная жилищная обеспеченность, кв. м.</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bookmarkStart w:id="2" w:name="Par187"/>
      <w:bookmarkEnd w:id="2"/>
      <w:r>
        <w:rPr>
          <w:rFonts w:ascii="Times New Roman" w:hAnsi="Times New Roman" w:cs="Times New Roman"/>
          <w:sz w:val="28"/>
          <w:szCs w:val="28"/>
        </w:rPr>
        <w:t>Таблица 2</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552"/>
        <w:gridCol w:w="6957"/>
      </w:tblGrid>
      <w:tr w:rsidR="00AA422F">
        <w:tc>
          <w:tcPr>
            <w:tcW w:w="2552"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Зона различной степени градостроительной ценности территории</w:t>
            </w:r>
          </w:p>
        </w:tc>
        <w:tc>
          <w:tcPr>
            <w:tcW w:w="69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Плотность населения территории жилого района, чел./га,  с числом жителей, тыс. чел.</w:t>
            </w:r>
          </w:p>
        </w:tc>
      </w:tr>
      <w:tr w:rsidR="00AA422F">
        <w:tc>
          <w:tcPr>
            <w:tcW w:w="2552"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69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до 20</w:t>
            </w:r>
          </w:p>
        </w:tc>
      </w:tr>
      <w:tr w:rsidR="00AA422F">
        <w:tc>
          <w:tcPr>
            <w:tcW w:w="25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Высокая</w:t>
            </w:r>
          </w:p>
        </w:tc>
        <w:tc>
          <w:tcPr>
            <w:tcW w:w="69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130</w:t>
            </w:r>
          </w:p>
        </w:tc>
      </w:tr>
      <w:tr w:rsidR="00AA422F">
        <w:tc>
          <w:tcPr>
            <w:tcW w:w="25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Средняя</w:t>
            </w:r>
          </w:p>
        </w:tc>
        <w:tc>
          <w:tcPr>
            <w:tcW w:w="69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r w:rsidR="00AA422F">
        <w:tc>
          <w:tcPr>
            <w:tcW w:w="25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Низкая</w:t>
            </w:r>
          </w:p>
        </w:tc>
        <w:tc>
          <w:tcPr>
            <w:tcW w:w="69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70</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В условиях реконструкции сложившейся застройки, а также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2.12. При разработке документации по планировке территорий жилых зон на вновь осваиваемых территориях муниципального образования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2.13.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2.14. Для предварительного определения потребной территории жилой зоны сельского поселения допускается принимать показатели, указанные в таблице 3.</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bookmarkStart w:id="3" w:name="Par228"/>
      <w:bookmarkEnd w:id="3"/>
      <w:r>
        <w:rPr>
          <w:rFonts w:ascii="Times New Roman" w:hAnsi="Times New Roman" w:cs="Times New Roman"/>
          <w:sz w:val="28"/>
          <w:szCs w:val="28"/>
        </w:rPr>
        <w:t>Таблица 3</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846"/>
        <w:gridCol w:w="3562"/>
      </w:tblGrid>
      <w:tr w:rsidR="00AA422F">
        <w:tc>
          <w:tcPr>
            <w:tcW w:w="58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Тип дома</w:t>
            </w:r>
          </w:p>
        </w:tc>
        <w:tc>
          <w:tcPr>
            <w:tcW w:w="35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Площадь земельного участка на один дом (квартиру), га</w:t>
            </w:r>
          </w:p>
        </w:tc>
      </w:tr>
      <w:tr w:rsidR="00AA422F">
        <w:tc>
          <w:tcPr>
            <w:tcW w:w="58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Усадебный с приквартирными участками, кв. м</w:t>
            </w:r>
          </w:p>
        </w:tc>
        <w:tc>
          <w:tcPr>
            <w:tcW w:w="356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58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2000</w:t>
            </w:r>
          </w:p>
        </w:tc>
        <w:tc>
          <w:tcPr>
            <w:tcW w:w="35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0,25 - 0,27</w:t>
            </w:r>
          </w:p>
        </w:tc>
      </w:tr>
      <w:tr w:rsidR="00AA422F">
        <w:tc>
          <w:tcPr>
            <w:tcW w:w="58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1500</w:t>
            </w:r>
          </w:p>
        </w:tc>
        <w:tc>
          <w:tcPr>
            <w:tcW w:w="35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0,21 - 0,23</w:t>
            </w:r>
          </w:p>
        </w:tc>
      </w:tr>
      <w:tr w:rsidR="00AA422F">
        <w:tc>
          <w:tcPr>
            <w:tcW w:w="58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1200</w:t>
            </w:r>
          </w:p>
        </w:tc>
        <w:tc>
          <w:tcPr>
            <w:tcW w:w="35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0,17 - 0,20</w:t>
            </w:r>
          </w:p>
        </w:tc>
      </w:tr>
      <w:tr w:rsidR="00AA422F">
        <w:tc>
          <w:tcPr>
            <w:tcW w:w="58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1000</w:t>
            </w:r>
          </w:p>
        </w:tc>
        <w:tc>
          <w:tcPr>
            <w:tcW w:w="35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0,15 - 0,17</w:t>
            </w:r>
          </w:p>
        </w:tc>
      </w:tr>
      <w:tr w:rsidR="00AA422F">
        <w:tc>
          <w:tcPr>
            <w:tcW w:w="58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800</w:t>
            </w:r>
          </w:p>
        </w:tc>
        <w:tc>
          <w:tcPr>
            <w:tcW w:w="35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0,13 - 0,15</w:t>
            </w:r>
          </w:p>
        </w:tc>
      </w:tr>
      <w:tr w:rsidR="00AA422F">
        <w:tc>
          <w:tcPr>
            <w:tcW w:w="58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600</w:t>
            </w:r>
          </w:p>
        </w:tc>
        <w:tc>
          <w:tcPr>
            <w:tcW w:w="35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0,11 - 0,13</w:t>
            </w:r>
          </w:p>
        </w:tc>
      </w:tr>
      <w:tr w:rsidR="00AA422F">
        <w:tc>
          <w:tcPr>
            <w:tcW w:w="58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Секционный без участков при квартире с числом этажей</w:t>
            </w:r>
          </w:p>
        </w:tc>
        <w:tc>
          <w:tcPr>
            <w:tcW w:w="356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58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2</w:t>
            </w:r>
          </w:p>
        </w:tc>
        <w:tc>
          <w:tcPr>
            <w:tcW w:w="35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0,04</w:t>
            </w:r>
          </w:p>
        </w:tc>
      </w:tr>
      <w:tr w:rsidR="00AA422F">
        <w:tc>
          <w:tcPr>
            <w:tcW w:w="58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3</w:t>
            </w:r>
          </w:p>
        </w:tc>
        <w:tc>
          <w:tcPr>
            <w:tcW w:w="35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0,03</w:t>
            </w:r>
          </w:p>
        </w:tc>
      </w:tr>
      <w:tr w:rsidR="00AA422F">
        <w:tc>
          <w:tcPr>
            <w:tcW w:w="58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4</w:t>
            </w:r>
          </w:p>
        </w:tc>
        <w:tc>
          <w:tcPr>
            <w:tcW w:w="35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0,02</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Нижний предел принимается для крупных и больших поселений, верхний - для средних и малых.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При организации обособленных хозяйственных проездов для прогона скота площадь селитебной территории увеличивается на 10%.</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2.15. Минимальную плотность населения территории сельского поселения (чел./га) рекомендуется принимать в соответствии с таблицей 4.</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bookmarkStart w:id="4" w:name="Par262"/>
      <w:bookmarkEnd w:id="4"/>
      <w:r>
        <w:rPr>
          <w:rFonts w:ascii="Times New Roman" w:hAnsi="Times New Roman" w:cs="Times New Roman"/>
          <w:sz w:val="28"/>
          <w:szCs w:val="28"/>
        </w:rPr>
        <w:t>Таблица 4</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018"/>
        <w:gridCol w:w="1320"/>
        <w:gridCol w:w="1330"/>
        <w:gridCol w:w="1320"/>
        <w:gridCol w:w="1387"/>
      </w:tblGrid>
      <w:tr w:rsidR="00AA422F">
        <w:tc>
          <w:tcPr>
            <w:tcW w:w="4018"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Тип дома</w:t>
            </w:r>
          </w:p>
        </w:tc>
        <w:tc>
          <w:tcPr>
            <w:tcW w:w="5357" w:type="dxa"/>
            <w:gridSpan w:val="4"/>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Плотность населения, чел./га, при среднем размере семьи, чел.</w:t>
            </w:r>
          </w:p>
        </w:tc>
      </w:tr>
      <w:tr w:rsidR="00AA422F">
        <w:tc>
          <w:tcPr>
            <w:tcW w:w="401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133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3,5</w:t>
            </w:r>
          </w:p>
        </w:tc>
        <w:tc>
          <w:tcPr>
            <w:tcW w:w="13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4,0</w:t>
            </w:r>
          </w:p>
        </w:tc>
      </w:tr>
      <w:tr w:rsidR="00AA422F">
        <w:tc>
          <w:tcPr>
            <w:tcW w:w="40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Усадебный с приквартирными участками, кв. м</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330"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38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40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2000</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c>
          <w:tcPr>
            <w:tcW w:w="133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12</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14</w:t>
            </w:r>
          </w:p>
        </w:tc>
        <w:tc>
          <w:tcPr>
            <w:tcW w:w="13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16</w:t>
            </w:r>
          </w:p>
        </w:tc>
      </w:tr>
      <w:tr w:rsidR="00AA422F">
        <w:tc>
          <w:tcPr>
            <w:tcW w:w="40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1500</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13</w:t>
            </w:r>
          </w:p>
        </w:tc>
        <w:tc>
          <w:tcPr>
            <w:tcW w:w="133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17</w:t>
            </w:r>
          </w:p>
        </w:tc>
        <w:tc>
          <w:tcPr>
            <w:tcW w:w="13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r>
      <w:tr w:rsidR="00AA422F">
        <w:tc>
          <w:tcPr>
            <w:tcW w:w="40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1200</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17</w:t>
            </w:r>
          </w:p>
        </w:tc>
        <w:tc>
          <w:tcPr>
            <w:tcW w:w="133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21</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23</w:t>
            </w:r>
          </w:p>
        </w:tc>
        <w:tc>
          <w:tcPr>
            <w:tcW w:w="13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r>
      <w:tr w:rsidR="00AA422F">
        <w:tc>
          <w:tcPr>
            <w:tcW w:w="40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1000</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c>
          <w:tcPr>
            <w:tcW w:w="133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24</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28</w:t>
            </w:r>
          </w:p>
        </w:tc>
        <w:tc>
          <w:tcPr>
            <w:tcW w:w="13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r>
      <w:tr w:rsidR="00AA422F">
        <w:tc>
          <w:tcPr>
            <w:tcW w:w="40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800</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133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33</w:t>
            </w:r>
          </w:p>
        </w:tc>
        <w:tc>
          <w:tcPr>
            <w:tcW w:w="13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35</w:t>
            </w:r>
          </w:p>
        </w:tc>
      </w:tr>
      <w:tr w:rsidR="00AA422F">
        <w:tc>
          <w:tcPr>
            <w:tcW w:w="40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600</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c>
          <w:tcPr>
            <w:tcW w:w="133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33</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40</w:t>
            </w:r>
          </w:p>
        </w:tc>
        <w:tc>
          <w:tcPr>
            <w:tcW w:w="13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41</w:t>
            </w:r>
          </w:p>
        </w:tc>
      </w:tr>
      <w:tr w:rsidR="00AA422F">
        <w:tc>
          <w:tcPr>
            <w:tcW w:w="40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Секционный с числом этажей</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330"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38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40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2</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33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130</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3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r w:rsidR="00AA422F">
        <w:tc>
          <w:tcPr>
            <w:tcW w:w="40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3</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33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150</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3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r w:rsidR="00AA422F">
        <w:tc>
          <w:tcPr>
            <w:tcW w:w="40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4</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33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170</w:t>
            </w:r>
          </w:p>
        </w:tc>
        <w:tc>
          <w:tcPr>
            <w:tcW w:w="132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3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2.16.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2.17.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2.18.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с учетом градостроительных регламентов, технико-экономических расчетов, 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2.19.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2.20.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2.21.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3. Общественно-деловые зоны.</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Общие требования и расчетные показатели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rsidR="00AA422F" w:rsidRDefault="00AA422F" w:rsidP="00434EF1">
      <w:pPr>
        <w:pStyle w:val="ConsPlusNormal"/>
        <w:ind w:firstLine="540"/>
        <w:jc w:val="both"/>
        <w:rPr>
          <w:rFonts w:ascii="Times New Roman" w:hAnsi="Times New Roman" w:cs="Times New Roman"/>
          <w:sz w:val="28"/>
          <w:szCs w:val="28"/>
        </w:rPr>
      </w:pPr>
      <w:bookmarkStart w:id="5" w:name="Par337"/>
      <w:bookmarkEnd w:id="5"/>
      <w:r>
        <w:rPr>
          <w:rFonts w:ascii="Times New Roman" w:hAnsi="Times New Roman" w:cs="Times New Roman"/>
          <w:sz w:val="28"/>
          <w:szCs w:val="28"/>
        </w:rPr>
        <w:t>1)общего, профессионального и дополнительного образования;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медицинских, аптечных;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социального обслуживания населения, в том числе домов-интернатов для инвалидов и престарелых, для детей-инвалидов;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временного проживания, в том числе гостиниц, мотелей, общежитий учебных заведений, спальных корпусов интернатов;</w:t>
      </w:r>
    </w:p>
    <w:p w:rsidR="00AA422F" w:rsidRDefault="00AA422F" w:rsidP="00434EF1">
      <w:pPr>
        <w:pStyle w:val="ConsPlusNormal"/>
        <w:ind w:firstLine="540"/>
        <w:jc w:val="both"/>
        <w:rPr>
          <w:rFonts w:ascii="Times New Roman" w:hAnsi="Times New Roman" w:cs="Times New Roman"/>
          <w:sz w:val="28"/>
          <w:szCs w:val="28"/>
        </w:rPr>
      </w:pPr>
      <w:bookmarkStart w:id="6" w:name="Par343"/>
      <w:bookmarkEnd w:id="6"/>
      <w:r>
        <w:rPr>
          <w:rFonts w:ascii="Times New Roman" w:hAnsi="Times New Roman" w:cs="Times New Roman"/>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научно-исследовательских, издательских и информационных организаций, социальной защиты населения (собесы, биржи труда и др.).</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3.2. В перечень объектов, разрешенных к размещению в общественно-деловых зонах, могут включаться жилые дома, объекты гаражного назначения.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 Общественно-деловые зоны следует формировать как центры деловой, финансовой и общественной активности в центральных частях населенных пунктов,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3.5. По типу застройки и составу размещаемых объектов общественно-деловые зоны могут подразделяться на многофункциональные (районные и местные), специализированные и смешанные зоны.</w:t>
      </w:r>
    </w:p>
    <w:p w:rsidR="00AA422F" w:rsidRDefault="00AA422F" w:rsidP="00434EF1">
      <w:pPr>
        <w:pStyle w:val="ConsPlusNormal"/>
        <w:ind w:firstLine="540"/>
        <w:jc w:val="both"/>
        <w:rPr>
          <w:rFonts w:ascii="Times New Roman" w:hAnsi="Times New Roman" w:cs="Times New Roman"/>
          <w:sz w:val="28"/>
          <w:szCs w:val="28"/>
        </w:rPr>
      </w:pPr>
      <w:bookmarkStart w:id="7" w:name="Par348"/>
      <w:bookmarkEnd w:id="7"/>
      <w:r>
        <w:rPr>
          <w:rFonts w:ascii="Times New Roman" w:hAnsi="Times New Roman" w:cs="Times New Roman"/>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AA422F" w:rsidRDefault="00AA422F" w:rsidP="00434EF1">
      <w:pPr>
        <w:pStyle w:val="ConsPlusNormal"/>
        <w:ind w:firstLine="540"/>
        <w:jc w:val="both"/>
        <w:rPr>
          <w:rFonts w:ascii="Times New Roman" w:hAnsi="Times New Roman" w:cs="Times New Roman"/>
          <w:sz w:val="28"/>
          <w:szCs w:val="28"/>
        </w:rPr>
      </w:pPr>
      <w:bookmarkStart w:id="8" w:name="Par349"/>
      <w:bookmarkEnd w:id="8"/>
      <w:r>
        <w:rPr>
          <w:rFonts w:ascii="Times New Roman" w:hAnsi="Times New Roman" w:cs="Times New Roman"/>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3.9. Общественно-деловые зоны смешанного типа формируются в сложившихся частях населенного пункта, как правило, из кварталов с преобладанием жилой и производственной застройки. В составе таких зон допускается размещать жилые и общественные здания,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а также не требующие большого потока грузовых автомобилей (не более 50 автомобилей в сутки в одном направлении).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3.12. Площадь территории, для которой может быть установлен режим смешанной производственно-жилой зоны, должна быть не менее 3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3.13. В сельских поселениях в районах существующей индивидуальной усадебной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4. Нормативные показатели плотности застройки</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жилых и общественно-деловых зон</w:t>
      </w:r>
    </w:p>
    <w:p w:rsidR="00AA422F" w:rsidRDefault="00AA422F" w:rsidP="00434EF1">
      <w:pPr>
        <w:pStyle w:val="ConsPlusNormal"/>
        <w:jc w:val="both"/>
        <w:rPr>
          <w:rFonts w:ascii="Times New Roman" w:hAnsi="Times New Roman" w:cs="Times New Roman"/>
          <w:b/>
          <w:bCs/>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 Основными показателями плотности застройки являются: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коэффициент застройки - отношение площади, занятой под зданиями и сооружениями, к площади участка (квартала);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коэффициент плотности застройки - отношение площади всех этажей зданий и сооружений к площади участка (квартала).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Предельные значения коэффициентов застройки и коэффициентов плотности застройки территории микрорайонов (кварталов) жилых, общественно-деловых и смешанных зон приведены в Приложении В, местных нормативах градостроительного проектирования и правилах землепользования и застройки муниципальных образований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населенного пункта и типа застройки. 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помещений и территории, а также в соответствии с противопожарными требованиями.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организаций, организаций здравоохранения и отдыха следует принимать в соответствии с требованиями </w:t>
      </w:r>
      <w:hyperlink r:id="rId7"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-03</w:t>
      </w:r>
      <w:r>
        <w:rPr>
          <w:rFonts w:ascii="Times New Roman" w:hAnsi="Times New Roman" w:cs="Times New Roman"/>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4.4. Между длинными сторонами жилых зданий высотой 2 - 3 этажа следует принимать расстояния (бытовые разрывы) не менее 15 м, а высотой 4 этажа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4.5. При разработке проектов планировки и межевания территорий жилой застройки должно быть обеспечено благоустройство территорий жилых домов (озеленения и размещение площадок различного функционального назначения). Перечень площадок и расстояния от них до жилых и общественных зданий следует принимать не менее приведенных в таблице 5.</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5</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613"/>
        <w:gridCol w:w="1512"/>
        <w:gridCol w:w="3264"/>
      </w:tblGrid>
      <w:tr w:rsidR="00AA422F">
        <w:tc>
          <w:tcPr>
            <w:tcW w:w="46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Площадки</w:t>
            </w:r>
          </w:p>
        </w:tc>
        <w:tc>
          <w:tcPr>
            <w:tcW w:w="15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Удельные размеры площадок, кв. м/чел.</w:t>
            </w:r>
          </w:p>
        </w:tc>
        <w:tc>
          <w:tcPr>
            <w:tcW w:w="32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Расстояния от площадок до окон жилых и общественных зданий, м</w:t>
            </w:r>
          </w:p>
        </w:tc>
      </w:tr>
      <w:tr w:rsidR="00AA422F">
        <w:tc>
          <w:tcPr>
            <w:tcW w:w="46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Для игр детей дошкольного и младшего школьного возраста</w:t>
            </w:r>
          </w:p>
        </w:tc>
        <w:tc>
          <w:tcPr>
            <w:tcW w:w="15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0,7</w:t>
            </w:r>
          </w:p>
        </w:tc>
        <w:tc>
          <w:tcPr>
            <w:tcW w:w="32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12</w:t>
            </w:r>
          </w:p>
        </w:tc>
      </w:tr>
      <w:tr w:rsidR="00AA422F">
        <w:tc>
          <w:tcPr>
            <w:tcW w:w="46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Для отдыха взрослого населения</w:t>
            </w:r>
          </w:p>
        </w:tc>
        <w:tc>
          <w:tcPr>
            <w:tcW w:w="15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0,1</w:t>
            </w:r>
          </w:p>
        </w:tc>
        <w:tc>
          <w:tcPr>
            <w:tcW w:w="32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r>
      <w:tr w:rsidR="00AA422F">
        <w:tc>
          <w:tcPr>
            <w:tcW w:w="46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Для занятий физкультурой</w:t>
            </w:r>
          </w:p>
        </w:tc>
        <w:tc>
          <w:tcPr>
            <w:tcW w:w="15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c>
          <w:tcPr>
            <w:tcW w:w="32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10 - 40</w:t>
            </w:r>
          </w:p>
        </w:tc>
      </w:tr>
      <w:tr w:rsidR="00AA422F">
        <w:tc>
          <w:tcPr>
            <w:tcW w:w="46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Для хозяйственных целей и выгула собак</w:t>
            </w:r>
          </w:p>
        </w:tc>
        <w:tc>
          <w:tcPr>
            <w:tcW w:w="15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0,3</w:t>
            </w:r>
          </w:p>
        </w:tc>
        <w:tc>
          <w:tcPr>
            <w:tcW w:w="32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 (для хозяйственных целей) 40 (для выгула собак)</w:t>
            </w:r>
          </w:p>
        </w:tc>
      </w:tr>
      <w:tr w:rsidR="00AA422F">
        <w:tc>
          <w:tcPr>
            <w:tcW w:w="46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Для стоянки автомашин</w:t>
            </w:r>
          </w:p>
        </w:tc>
        <w:tc>
          <w:tcPr>
            <w:tcW w:w="15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0,8</w:t>
            </w:r>
          </w:p>
        </w:tc>
        <w:tc>
          <w:tcPr>
            <w:tcW w:w="32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по </w:t>
            </w:r>
            <w:hyperlink r:id="rId8" w:anchor="Par710#Par710" w:tooltip="Таблица 10" w:history="1">
              <w:r>
                <w:rPr>
                  <w:rStyle w:val="Hyperlink"/>
                  <w:rFonts w:ascii="Times New Roman" w:hAnsi="Times New Roman"/>
                  <w:color w:val="000000"/>
                  <w:sz w:val="28"/>
                  <w:szCs w:val="28"/>
                  <w:u w:val="none"/>
                </w:rPr>
                <w:t>таблице 10</w:t>
              </w:r>
            </w:hyperlink>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Расстояния от площадок для занятий физкультурой устанавливаются в зависимости от их шумовых характеристик (наибольшие значения принимаются для хоккейных и футбольных площадок, наименьшие - для площадок для настольного тенниса);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организаций общественного питания следует принимать не менее 20 м, а от площадок для хозяйственных целей до наиболее удаленного входа в жилое здание - не более 100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4.6. Въезды на территорию микрорайонов и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w:t>
      </w:r>
      <w:hyperlink r:id="rId9" w:anchor="Par1071#Par1071" w:tooltip="Таблица 15" w:history="1">
        <w:r>
          <w:rPr>
            <w:rStyle w:val="Hyperlink"/>
            <w:rFonts w:ascii="Times New Roman" w:hAnsi="Times New Roman"/>
            <w:color w:val="000000"/>
            <w:sz w:val="28"/>
            <w:szCs w:val="28"/>
            <w:u w:val="none"/>
          </w:rPr>
          <w:t>таблицей 15</w:t>
        </w:r>
      </w:hyperlink>
      <w:r>
        <w:rPr>
          <w:rFonts w:ascii="Times New Roman" w:hAnsi="Times New Roman" w:cs="Times New Roman"/>
          <w:sz w:val="28"/>
          <w:szCs w:val="28"/>
        </w:rPr>
        <w:t xml:space="preserve"> нормативов. К объектам, посещаемым инвалидами, допускается устройство проездов, совмещенных с тротуарами при протяженности их не более 150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4.8. Ширину проездов к жилым зданиям следует устанавливать с учетом обеспечения проезда пожарной техники в соответствии с </w:t>
      </w:r>
      <w:r>
        <w:rPr>
          <w:rFonts w:ascii="Times New Roman" w:hAnsi="Times New Roman" w:cs="Times New Roman"/>
          <w:color w:val="000000"/>
          <w:sz w:val="28"/>
          <w:szCs w:val="28"/>
        </w:rPr>
        <w:t xml:space="preserve">техническим </w:t>
      </w:r>
      <w:hyperlink r:id="rId10" w:tooltip="Федеральный закон от 22.07.2008 N 123-ФЗ (ред. от 03.07.2016) &quot;Технический регламент о требованиях пожарной безопасности&quot;{КонсультантПлюс}" w:history="1">
        <w:r>
          <w:rPr>
            <w:rStyle w:val="Hyperlink"/>
            <w:rFonts w:ascii="Times New Roman" w:hAnsi="Times New Roman"/>
            <w:color w:val="000000"/>
            <w:sz w:val="28"/>
            <w:szCs w:val="28"/>
            <w:u w:val="none"/>
          </w:rPr>
          <w:t>регламентом</w:t>
        </w:r>
      </w:hyperlink>
      <w:r>
        <w:rPr>
          <w:rFonts w:ascii="Times New Roman" w:hAnsi="Times New Roman" w:cs="Times New Roman"/>
          <w:sz w:val="28"/>
          <w:szCs w:val="28"/>
        </w:rPr>
        <w:t xml:space="preserve">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СП 59.13330.2012.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hyperlink r:id="rId11" w:tooltip="Постановление Главного государственного санитарного врача РФ от 10.06.2010 N 64 (ред. от 27.12.2010) &quot;Об утверждении СанПиН 2.1.2.2645-10&quot; (вместе с &quot;СанПиН 2.1.2.2645-10. Санитарно-эпидемиологические требования к условиям проживания в жилых зданиях и пом" w:history="1">
        <w:r>
          <w:rPr>
            <w:rStyle w:val="Hyperlink"/>
            <w:rFonts w:ascii="Times New Roman" w:hAnsi="Times New Roman"/>
            <w:color w:val="000000"/>
            <w:sz w:val="28"/>
            <w:szCs w:val="28"/>
            <w:u w:val="none"/>
          </w:rPr>
          <w:t>СанПиН 2.1.2.2645</w:t>
        </w:r>
      </w:hyperlink>
      <w:r>
        <w:rPr>
          <w:rFonts w:ascii="Times New Roman" w:hAnsi="Times New Roman" w:cs="Times New Roman"/>
          <w:color w:val="000000"/>
          <w:sz w:val="28"/>
          <w:szCs w:val="28"/>
        </w:rPr>
        <w:t>-10.</w:t>
      </w:r>
      <w:r>
        <w:rPr>
          <w:rFonts w:ascii="Times New Roman" w:hAnsi="Times New Roman" w:cs="Times New Roman"/>
          <w:sz w:val="28"/>
          <w:szCs w:val="28"/>
        </w:rPr>
        <w:t xml:space="preserve"> На придомовой территории многоквартирных жилых зданий не допускается устройство транзитных проездов,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w:t>
      </w:r>
      <w:hyperlink r:id="rId12"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-03.</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4.12. Площадь озелененной территории микрорайона (квартала) следует принимать не менее 6 кв. м/чел. (без участков</w:t>
      </w:r>
      <w:r>
        <w:rPr>
          <w:sz w:val="28"/>
          <w:szCs w:val="28"/>
        </w:rPr>
        <w:t xml:space="preserve"> </w:t>
      </w:r>
      <w:r>
        <w:rPr>
          <w:rFonts w:ascii="Times New Roman" w:hAnsi="Times New Roman" w:cs="Times New Roman"/>
          <w:sz w:val="28"/>
          <w:szCs w:val="28"/>
        </w:rPr>
        <w:t>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4.13. Многоквартирные жилые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организаций общего,  профессионального и дополнительного образования),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расстояние между красной линией (границей земельного участка) и стеной здания, строения, сооружения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Расстояние от стены здания до границы смежного участка должно быть не менее 1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4.14. Усадебный, одно-, двухквартирный дом должен отстоять, как правило, от красной линии улиц не менее чем на 5 м, от красной линии проездов - не менее чем на 3 м. В районах существующей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r>
        <w:t xml:space="preserve"> </w:t>
      </w:r>
      <w:r>
        <w:rPr>
          <w:rFonts w:ascii="Times New Roman" w:hAnsi="Times New Roman" w:cs="Times New Roman"/>
          <w:sz w:val="28"/>
          <w:szCs w:val="28"/>
        </w:rPr>
        <w:t>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4.15. В районах индивидуальной усадебной жилой застройки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- 5 м; среднерослых - 2 м; от кустарника - 1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4.19.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 30 блоков - 50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4.20. Площадь застройки сблокированных сараев не должна превышать 800 кв. м. Расстояния между группами сараев следует принимать в соответствии с противопожарными требованиями.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 На приусадебном участке допускается размещение гаража для хранения одного грузового автомобиля грузоподъемностью не более 3,5 тонн.</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4.22. При отсутствии централизованной канализации дворовые уборные, расположенные на придомовых территориях, должны быть удалены от жилых зданий, дошкольных и общеобразовательных организаций,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4.23.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4.25. Площадки для установки контейнеров для сбора твердых бытовых отходов должны быть удалены от жилых домов, территорий дошкольных образовательных организаций ,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4.26. Размещение жилых и хозяйственных строений определяется схемой планировочной организации земельного участка. Противопожарные расстояния от одно -,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w:t>
      </w:r>
      <w:hyperlink r:id="rId13" w:tooltip="Приказ МЧС России от 24.04.2013 N 288 (ред. от 18.07.2013) &quot;Об утверждении свода правил СП 4.13130 &quot;Системы противопожарной защиты. Ограничение распространения пожара на объектах защиты. Требования к объемно-планировочным и конструктивным решениям&quot; (вмест" w:history="1">
        <w:r>
          <w:rPr>
            <w:rStyle w:val="Hyperlink"/>
            <w:rFonts w:ascii="Times New Roman" w:hAnsi="Times New Roman"/>
            <w:color w:val="000000"/>
            <w:sz w:val="28"/>
            <w:szCs w:val="28"/>
            <w:u w:val="none"/>
          </w:rPr>
          <w:t>СП 4.13130.2013</w:t>
        </w:r>
      </w:hyperlink>
      <w:r>
        <w:rPr>
          <w:rFonts w:ascii="Times New Roman" w:hAnsi="Times New Roman" w:cs="Times New Roman"/>
          <w:color w:val="000000"/>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w:t>
      </w:r>
      <w:hyperlink r:id="rId14"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rStyle w:val="Hyperlink"/>
            <w:rFonts w:ascii="Times New Roman" w:hAnsi="Times New Roman"/>
            <w:color w:val="000000"/>
            <w:sz w:val="28"/>
            <w:szCs w:val="28"/>
            <w:u w:val="none"/>
          </w:rPr>
          <w:t>статьи 10</w:t>
        </w:r>
      </w:hyperlink>
      <w:r>
        <w:rPr>
          <w:rFonts w:ascii="Times New Roman" w:hAnsi="Times New Roman" w:cs="Times New Roman"/>
          <w:sz w:val="28"/>
          <w:szCs w:val="28"/>
        </w:rPr>
        <w:t xml:space="preserve"> Федерального закона Российской Федерации от 28.12.2009 № 381-ФЗ «Об основах государственного регулирования торговой деятельности в Российской Федерации».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w:t>
      </w:r>
      <w:hyperlink r:id="rId15" w:anchor="Par5010#Par5010" w:tooltip="Приложение И" w:history="1">
        <w:r>
          <w:rPr>
            <w:rStyle w:val="Hyperlink"/>
            <w:rFonts w:ascii="Times New Roman" w:hAnsi="Times New Roman"/>
            <w:color w:val="000000"/>
            <w:sz w:val="28"/>
            <w:szCs w:val="28"/>
            <w:u w:val="none"/>
          </w:rPr>
          <w:t>Приложением И</w:t>
        </w:r>
      </w:hyperlink>
      <w:r>
        <w:rPr>
          <w:rFonts w:ascii="Times New Roman" w:hAnsi="Times New Roman" w:cs="Times New Roman"/>
          <w:sz w:val="28"/>
          <w:szCs w:val="28"/>
        </w:rPr>
        <w:t xml:space="preserve"> к настоящим нормативам. Загрузка товаров должна осуществляться с учетом требований пункта 4.12 СП 54.13330.2011.</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5. Производственные зоны, зоны транспортной</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и инженерной инфраструктур.</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Общие требования и расчетные показатели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 В состав производственных зон, зон инженерной и транспортной инфраструктур могут включаться: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производственные зоны - зоны размещения производственных объектов с различными нормативами воздействия на окружающую среду, требующие устройства санитарно-защитных зон шириной более 50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иные виды производственной (научно-производственной), инженерной и транспортной инфраструктур.</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18.13330.2011 и </w:t>
      </w:r>
      <w:hyperlink r:id="rId16" w:anchor="Par2939#Par2939" w:tooltip="ПЛОТНОСТЬ" w:history="1">
        <w:r>
          <w:rPr>
            <w:rStyle w:val="Hyperlink"/>
            <w:rFonts w:ascii="Times New Roman" w:hAnsi="Times New Roman"/>
            <w:color w:val="000000"/>
            <w:sz w:val="28"/>
            <w:szCs w:val="28"/>
            <w:u w:val="none"/>
          </w:rPr>
          <w:t>Приложении Г</w:t>
        </w:r>
      </w:hyperlink>
      <w:r>
        <w:rPr>
          <w:rFonts w:ascii="Times New Roman" w:hAnsi="Times New Roman" w:cs="Times New Roman"/>
          <w:sz w:val="28"/>
          <w:szCs w:val="28"/>
        </w:rPr>
        <w:t xml:space="preserve"> к настоящим нормативам.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w:t>
      </w:r>
      <w:hyperlink r:id="rId17" w:tooltip="Федеральный закон от 21.07.1997 N 116-ФЗ (ред. от 02.06.2016) &quot;О промышленной безопасности опасных производственных объектов&quot;{КонсультантПлюс}" w:history="1">
        <w:r>
          <w:rPr>
            <w:rStyle w:val="Hyperlink"/>
            <w:rFonts w:ascii="Times New Roman" w:hAnsi="Times New Roman"/>
            <w:color w:val="000000"/>
            <w:sz w:val="28"/>
            <w:szCs w:val="28"/>
            <w:u w:val="none"/>
          </w:rPr>
          <w:t>законом</w:t>
        </w:r>
      </w:hyperlink>
      <w:r>
        <w:rPr>
          <w:rFonts w:ascii="Times New Roman" w:hAnsi="Times New Roman" w:cs="Times New Roman"/>
          <w:sz w:val="28"/>
          <w:szCs w:val="28"/>
        </w:rPr>
        <w:t xml:space="preserve"> от 21.07.1997  № 116-ФЗ «О промышленной безопасности опасных производственных объектов» и техническими регламентами.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5.6. Нормативные размеры санитарно-защитных зон от производственных объектов следует устанавливать с учетом </w:t>
      </w:r>
      <w:r>
        <w:rPr>
          <w:rFonts w:ascii="Times New Roman" w:hAnsi="Times New Roman" w:cs="Times New Roman"/>
          <w:color w:val="000000"/>
          <w:sz w:val="28"/>
          <w:szCs w:val="28"/>
        </w:rPr>
        <w:t xml:space="preserve">требований </w:t>
      </w:r>
      <w:hyperlink r:id="rId18"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-03</w:t>
      </w:r>
      <w:r>
        <w:rPr>
          <w:rFonts w:ascii="Times New Roman" w:hAnsi="Times New Roman" w:cs="Times New Roman"/>
          <w:sz w:val="28"/>
          <w:szCs w:val="28"/>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w:t>
      </w:r>
      <w:hyperlink r:id="rId19"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-03.</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5.8. Минимальную площадь озеленения санитарно-защитных зон следует принимать в зависимости от ширины зоны: до 300 м - 60%; от 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района.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5.12.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5.13.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w:t>
      </w:r>
      <w:r>
        <w:rPr>
          <w:rFonts w:ascii="Times New Roman" w:hAnsi="Times New Roman" w:cs="Times New Roman"/>
          <w:color w:val="000000"/>
          <w:sz w:val="28"/>
          <w:szCs w:val="28"/>
        </w:rPr>
        <w:t xml:space="preserve">в </w:t>
      </w:r>
      <w:hyperlink r:id="rId20" w:anchor="Par3785#Par3785" w:tooltip="ПЛОЩАДЬ" w:history="1">
        <w:r>
          <w:rPr>
            <w:rStyle w:val="Hyperlink"/>
            <w:rFonts w:ascii="Times New Roman" w:hAnsi="Times New Roman"/>
            <w:color w:val="000000"/>
            <w:sz w:val="28"/>
            <w:szCs w:val="28"/>
            <w:u w:val="none"/>
          </w:rPr>
          <w:t>Приложении Д</w:t>
        </w:r>
      </w:hyperlink>
      <w:r>
        <w:rPr>
          <w:rFonts w:ascii="Times New Roman" w:hAnsi="Times New Roman" w:cs="Times New Roman"/>
          <w:sz w:val="28"/>
          <w:szCs w:val="28"/>
        </w:rPr>
        <w:t xml:space="preserve"> настоящих нормативов.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5.14.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w:t>
      </w:r>
      <w:hyperlink r:id="rId21" w:tooltip="Постановление Правительства РФ от 05.05.2014 N 405 (ред. от 10.09.2016) &quo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 w:history="1">
        <w:r>
          <w:rPr>
            <w:rStyle w:val="Hyperlink"/>
            <w:rFonts w:ascii="Times New Roman" w:hAnsi="Times New Roman"/>
            <w:color w:val="000000"/>
            <w:sz w:val="28"/>
            <w:szCs w:val="28"/>
            <w:u w:val="none"/>
          </w:rPr>
          <w:t>Положения</w:t>
        </w:r>
      </w:hyperlink>
      <w:r>
        <w:rPr>
          <w:rFonts w:ascii="Times New Roman" w:hAnsi="Times New Roman" w:cs="Times New Roman"/>
          <w:sz w:val="28"/>
          <w:szCs w:val="28"/>
        </w:rPr>
        <w:t xml:space="preserve">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5.15. Производственные зоны, как правило, не должны быть разделены на обособленные участки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5.16.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5.17.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населенных пунктов на землях промышленности.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5.18. В зоны транспортной инфраструктуры включаются территории и земельные участки в границах населенного пункта: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занятые улицами, дорогами, автостанциями, мостами, транспортными развязками, иными объектами автотранспорта и улично-дорожной сети, а также предназначенные для размещения таких объектов.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5.19. Для автодорог, автостоянок устанавливается расстояние от источника химического, биологического и (или) физического воздействия, уменьшающее эти воздействия до значений гигиенических нормативов (далее –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AA422F" w:rsidRDefault="00AA422F" w:rsidP="00434EF1">
      <w:pPr>
        <w:pStyle w:val="ConsPlusNormal"/>
        <w:ind w:firstLine="540"/>
        <w:jc w:val="both"/>
        <w:rPr>
          <w:rFonts w:ascii="Times New Roman" w:hAnsi="Times New Roman" w:cs="Times New Roman"/>
          <w:sz w:val="28"/>
          <w:szCs w:val="28"/>
        </w:rPr>
      </w:pPr>
      <w:bookmarkStart w:id="9" w:name="Par448"/>
      <w:bookmarkEnd w:id="9"/>
      <w:r>
        <w:rPr>
          <w:rFonts w:ascii="Times New Roman" w:hAnsi="Times New Roman" w:cs="Times New Roman"/>
          <w:sz w:val="28"/>
          <w:szCs w:val="28"/>
        </w:rPr>
        <w:t>5.20.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5.21. Объекты, сооружения и коммуникации инженерной инфраструктуры, указанные в</w:t>
      </w:r>
      <w:r>
        <w:rPr>
          <w:rFonts w:ascii="Times New Roman" w:hAnsi="Times New Roman" w:cs="Times New Roman"/>
          <w:color w:val="000000"/>
          <w:sz w:val="28"/>
          <w:szCs w:val="28"/>
        </w:rPr>
        <w:t xml:space="preserve"> пункте 5.20.</w:t>
      </w:r>
      <w:r>
        <w:rPr>
          <w:rFonts w:ascii="Times New Roman" w:hAnsi="Times New Roman" w:cs="Times New Roman"/>
          <w:sz w:val="28"/>
          <w:szCs w:val="28"/>
        </w:rPr>
        <w:t>, могут размещаться в производственных зонах, а также зонах транспортной инфраструктуры.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5.22.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5.23. Проектирование инженерных систем водоснабжения, водоотведения, теплоснабжения, газоснабжения, электроснабжения и связи следует осуществлять на основе схем водоснабжения, водоотведения, теплоснабжения, газоснабжения и энергоснабжения, разработанных и утвержденных в установленном порядке.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5.24.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bookmarkStart w:id="10" w:name="Par454"/>
      <w:bookmarkEnd w:id="10"/>
      <w:r>
        <w:rPr>
          <w:rFonts w:ascii="Times New Roman" w:hAnsi="Times New Roman" w:cs="Times New Roman"/>
          <w:sz w:val="28"/>
          <w:szCs w:val="28"/>
        </w:rPr>
        <w:t>6. Зоны рекреационного назначения.</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Зоны особо охраняемых территорий. Зоны отдыха.</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Общие требования и расчетные показатели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6.1. В состав функциональных зон рекреационного назначения включаются территории и земельные участки, занятые скверами, парками, садами, прудами, озерами, естественными зелеными насаждениями, а так же объектами туристско-рекреационного назначения, используемые или предназначенные для отдыха, туризма, занятий физической культурой и спортом.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такие леса, осуществляется органами местного самоуправления.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6.5. В пределах границ населенных пунктов муниципального образования Лебяжинский сельсовет Егорьевского района Алтайского края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(горно-санитарной) охраны.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w:t>
      </w:r>
      <w:hyperlink r:id="rId22" w:tooltip="Постановление Правительства РФ от 07.12.1996 N 1425 (ред. от 05.06.2013) &quot;Об утверждении Положения об округах санитарной и горно-санитарной охраны лечебно-оздоровительных местностей и курортов федерального значения&quot;{КонсультантПлюс}" w:history="1">
        <w:r>
          <w:rPr>
            <w:rStyle w:val="Hyperlink"/>
            <w:rFonts w:ascii="Times New Roman" w:hAnsi="Times New Roman"/>
            <w:color w:val="000000"/>
            <w:sz w:val="28"/>
            <w:szCs w:val="28"/>
            <w:u w:val="none"/>
          </w:rPr>
          <w:t>Правительством</w:t>
        </w:r>
      </w:hyperlink>
      <w:r>
        <w:rPr>
          <w:rFonts w:ascii="Times New Roman" w:hAnsi="Times New Roman" w:cs="Times New Roman"/>
          <w:sz w:val="28"/>
          <w:szCs w:val="28"/>
        </w:rPr>
        <w:t xml:space="preserve"> Российской Федерации, а для лечебно-оздоровительных местностей и курортов краевого и местного значения – Правительством Алтайского края.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6.11. Размеры территорий общего пользования курортных зон следует устанавливать из расчета в санаторно-курортных и оздоровительных учреждениях (кв. м на одно место): общекурортных центров - 10, озелененных - 100. В курортных зонах размеры озелененных территорий общего пользования допускается уменьшать, но не более чем на 50%.</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 жилой застройки, учреждений коммунального хозяйства и складов - 500 м (в условиях реконструкции не менее 100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 автомобильных дорог категорий I, II, III - 500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 автомобильных дорог категории IV - 200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6.15. Размеры территорий пляжей, размещаемых в курортных зонах и зонах отдыха, следует принимать на одного посетителя не менее: озерных - 8 кв. м; озерных (для детей) - 4 кв. м. Размеры озерных пляжей, размещаемых вне курортных зон, на землях, пригодных для сельскохозяйственного использования, следует принимать из расчета 5 кв. 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 м на одного посетителя.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6.16. Минимальную протяженность береговой полосы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- 0,6 - 0,8; учреждений отдыха и туризма - 0,7 - 0,9; пионерских лагерей - 0,5 - 1,0; общего пользования для местного населения - 0,2; санаториев - 0,6 - 0,8; отдыхающих без путевок - 0,5.</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w:t>
      </w:r>
      <w:hyperlink r:id="rId23" w:tooltip="Федеральный закон от 14.03.1995 N 33-ФЗ (ред. от 03.07.2016) &quot;Об особо охраняемых природных территориях&quot;{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от 14.03.1995 № 33-ФЗ «Об особо охраняемых природных территориях».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6.18. Расчетную численность единовременных посетителей территории парков, зеленых зон следует принимать не более: для парков - 100 чел./га., парков зон отдыха - 70 чел./га, парков курортов - 50 чел./га. При численности единовременных посетителей 10 - 15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6.19. Размеры территорий зон отдыха следует принимать из расчета 500 кв. м на одного посетителя, в том числе интенсивно используемая их часть для активных видов отдыха должна составлять не менее 100 кв. м на одного посетителя. Площадь участка зоны массового кратковременного отдыха следует принимать не менее 50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6.20.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не менее 500 м, а от домов отдыха - не менее 300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6.21.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w:t>
      </w:r>
      <w:r>
        <w:rPr>
          <w:rFonts w:ascii="Times New Roman" w:hAnsi="Times New Roman" w:cs="Times New Roman"/>
          <w:color w:val="000000"/>
          <w:sz w:val="28"/>
          <w:szCs w:val="28"/>
        </w:rPr>
        <w:t xml:space="preserve">по </w:t>
      </w:r>
      <w:hyperlink r:id="rId24" w:anchor="Par5010#Par5010" w:tooltip="Приложение И" w:history="1">
        <w:r>
          <w:rPr>
            <w:rStyle w:val="Hyperlink"/>
            <w:rFonts w:ascii="Times New Roman" w:hAnsi="Times New Roman"/>
            <w:color w:val="000000"/>
            <w:sz w:val="28"/>
            <w:szCs w:val="28"/>
            <w:u w:val="none"/>
          </w:rPr>
          <w:t>Приложению И</w:t>
        </w:r>
      </w:hyperlink>
      <w:r>
        <w:rPr>
          <w:rFonts w:ascii="Times New Roman" w:hAnsi="Times New Roman" w:cs="Times New Roman"/>
          <w:sz w:val="28"/>
          <w:szCs w:val="28"/>
        </w:rPr>
        <w:t xml:space="preserve"> к настоящим нормативам.</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6.22. В сельских поселениях 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сельских поселений, следует принимать </w:t>
      </w:r>
      <w:r>
        <w:rPr>
          <w:rFonts w:ascii="Times New Roman" w:hAnsi="Times New Roman" w:cs="Times New Roman"/>
          <w:color w:val="000000"/>
          <w:sz w:val="28"/>
          <w:szCs w:val="28"/>
        </w:rPr>
        <w:t xml:space="preserve">по </w:t>
      </w:r>
      <w:hyperlink r:id="rId25" w:anchor="Par487#Par487" w:tooltip="Таблица 7" w:history="1">
        <w:r>
          <w:rPr>
            <w:rStyle w:val="Hyperlink"/>
            <w:rFonts w:ascii="Times New Roman" w:hAnsi="Times New Roman"/>
            <w:color w:val="000000"/>
            <w:sz w:val="28"/>
            <w:szCs w:val="28"/>
            <w:u w:val="none"/>
          </w:rPr>
          <w:t>таблице 7</w:t>
        </w:r>
      </w:hyperlink>
      <w:r>
        <w:rPr>
          <w:rFonts w:ascii="Times New Roman" w:hAnsi="Times New Roman" w:cs="Times New Roman"/>
          <w:color w:val="000000"/>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6.23. Существующие массивы естественных зеленых насаждений следует преобразовывать в лесопарки и относить их дополнительно к указанным в таблице 6 озелененным территориям общего пользования, исходя из расчета не более 5 кв. м/чел. При этом следует сохранять и улучшать сложившиеся ландшафты, обеспечивая их пространственную взаимосвязь с природными экосистемами.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bookmarkStart w:id="11" w:name="Par487"/>
      <w:bookmarkEnd w:id="11"/>
      <w:r>
        <w:rPr>
          <w:rFonts w:ascii="Times New Roman" w:hAnsi="Times New Roman" w:cs="Times New Roman"/>
          <w:sz w:val="28"/>
          <w:szCs w:val="28"/>
        </w:rPr>
        <w:t>Таблица 6</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111"/>
        <w:gridCol w:w="5954"/>
      </w:tblGrid>
      <w:tr w:rsidR="00AA422F">
        <w:tc>
          <w:tcPr>
            <w:tcW w:w="4111"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Озелененные территории общего пользования</w:t>
            </w:r>
          </w:p>
        </w:tc>
        <w:tc>
          <w:tcPr>
            <w:tcW w:w="59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Площадь озелененных территорий, кв. м/чел.</w:t>
            </w:r>
          </w:p>
        </w:tc>
      </w:tr>
      <w:tr w:rsidR="00AA422F">
        <w:tc>
          <w:tcPr>
            <w:tcW w:w="4111"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9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сельских поселений</w:t>
            </w:r>
          </w:p>
        </w:tc>
      </w:tr>
      <w:tr w:rsidR="00AA422F">
        <w:tc>
          <w:tcPr>
            <w:tcW w:w="411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Жилых районов</w:t>
            </w:r>
          </w:p>
        </w:tc>
        <w:tc>
          <w:tcPr>
            <w:tcW w:w="59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12</w:t>
            </w:r>
          </w:p>
        </w:tc>
      </w:tr>
    </w:tbl>
    <w:p w:rsidR="00AA422F" w:rsidRDefault="00AA422F" w:rsidP="00434EF1">
      <w:pPr>
        <w:pStyle w:val="ConsPlusNormal"/>
        <w:jc w:val="both"/>
        <w:rPr>
          <w:rFonts w:ascii="Times New Roman" w:hAnsi="Times New Roman" w:cs="Times New Roman"/>
          <w:sz w:val="28"/>
          <w:szCs w:val="28"/>
        </w:rPr>
      </w:pPr>
      <w:bookmarkStart w:id="12" w:name="Par507"/>
      <w:bookmarkEnd w:id="12"/>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Площадь озелененных территорий общего пользования в поселениях, расположенных в лесостепи, допускается увеличивать на 10-20%.</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AA422F" w:rsidRDefault="00AA422F" w:rsidP="00434EF1">
      <w:pPr>
        <w:pStyle w:val="ConsPlusNormal"/>
        <w:ind w:firstLine="540"/>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6.24.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w:t>
      </w:r>
      <w:hyperlink r:id="rId26" w:anchor="Par4781#Par4781" w:tooltip="ПАРАМЕТРЫ" w:history="1">
        <w:r>
          <w:rPr>
            <w:rStyle w:val="Hyperlink"/>
            <w:rFonts w:ascii="Times New Roman" w:hAnsi="Times New Roman"/>
            <w:color w:val="000000"/>
            <w:sz w:val="28"/>
            <w:szCs w:val="28"/>
            <w:u w:val="none"/>
          </w:rPr>
          <w:t>Приложении Ж</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к настоящим нормативам.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6.25.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6.26. Пешеходные аллеи следует предусматривать в направлении массовых потоков пешеходного движения. На пешеходных аллеях следует предусматривать площадки для кратковременного отдыха.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6.27. Озелененные территории общего пользования должны быть освещены, благоустроены и оборудованы малыми архитектурными формами.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6.28.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7</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789"/>
        <w:gridCol w:w="1853"/>
        <w:gridCol w:w="1762"/>
      </w:tblGrid>
      <w:tr w:rsidR="00AA422F">
        <w:tc>
          <w:tcPr>
            <w:tcW w:w="5789"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Здание, сооружение, объект инженерного благоустройства</w:t>
            </w:r>
          </w:p>
        </w:tc>
        <w:tc>
          <w:tcPr>
            <w:tcW w:w="3615"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Расстояния от здания, сооружения, объекта до оси, м</w:t>
            </w:r>
          </w:p>
        </w:tc>
      </w:tr>
      <w:tr w:rsidR="00AA422F">
        <w:tc>
          <w:tcPr>
            <w:tcW w:w="5789"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85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ствола дерева</w:t>
            </w:r>
          </w:p>
        </w:tc>
        <w:tc>
          <w:tcPr>
            <w:tcW w:w="1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кустарника</w:t>
            </w:r>
          </w:p>
        </w:tc>
      </w:tr>
      <w:tr w:rsidR="00AA422F">
        <w:tc>
          <w:tcPr>
            <w:tcW w:w="578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85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AA422F">
        <w:tc>
          <w:tcPr>
            <w:tcW w:w="578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Наружная стена здания и сооружения</w:t>
            </w:r>
          </w:p>
        </w:tc>
        <w:tc>
          <w:tcPr>
            <w:tcW w:w="185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1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r>
      <w:tr w:rsidR="00AA422F">
        <w:tc>
          <w:tcPr>
            <w:tcW w:w="578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Край тротуара и садовой дорожки</w:t>
            </w:r>
          </w:p>
        </w:tc>
        <w:tc>
          <w:tcPr>
            <w:tcW w:w="185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0,7</w:t>
            </w:r>
          </w:p>
        </w:tc>
        <w:tc>
          <w:tcPr>
            <w:tcW w:w="1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r>
      <w:tr w:rsidR="00AA422F">
        <w:tc>
          <w:tcPr>
            <w:tcW w:w="578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Край проезжей части улиц, кромка укрепленной полосы обочины дороги или бровка канавы</w:t>
            </w:r>
          </w:p>
        </w:tc>
        <w:tc>
          <w:tcPr>
            <w:tcW w:w="185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c>
          <w:tcPr>
            <w:tcW w:w="1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r>
      <w:tr w:rsidR="00AA422F">
        <w:tc>
          <w:tcPr>
            <w:tcW w:w="578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Мачта и опора осветительной сети</w:t>
            </w:r>
          </w:p>
        </w:tc>
        <w:tc>
          <w:tcPr>
            <w:tcW w:w="185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4,0</w:t>
            </w:r>
          </w:p>
        </w:tc>
        <w:tc>
          <w:tcPr>
            <w:tcW w:w="1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r w:rsidR="00AA422F">
        <w:tc>
          <w:tcPr>
            <w:tcW w:w="578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Подошва откоса, террасы и др.</w:t>
            </w:r>
          </w:p>
        </w:tc>
        <w:tc>
          <w:tcPr>
            <w:tcW w:w="185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c>
          <w:tcPr>
            <w:tcW w:w="1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r>
      <w:tr w:rsidR="00AA422F">
        <w:tc>
          <w:tcPr>
            <w:tcW w:w="578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Подземные сети</w:t>
            </w:r>
          </w:p>
        </w:tc>
        <w:tc>
          <w:tcPr>
            <w:tcW w:w="185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578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канализация</w:t>
            </w:r>
          </w:p>
        </w:tc>
        <w:tc>
          <w:tcPr>
            <w:tcW w:w="185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1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r w:rsidR="00AA422F">
        <w:tc>
          <w:tcPr>
            <w:tcW w:w="578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Тепловая сеть (стенка канала, тоннеля или оболочка при бесканальной прокладке)</w:t>
            </w:r>
          </w:p>
        </w:tc>
        <w:tc>
          <w:tcPr>
            <w:tcW w:w="185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c>
          <w:tcPr>
            <w:tcW w:w="1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r>
      <w:tr w:rsidR="00AA422F">
        <w:tc>
          <w:tcPr>
            <w:tcW w:w="578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Водопровод, дренаж</w:t>
            </w:r>
          </w:p>
        </w:tc>
        <w:tc>
          <w:tcPr>
            <w:tcW w:w="185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c>
          <w:tcPr>
            <w:tcW w:w="1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r w:rsidR="00AA422F">
        <w:tc>
          <w:tcPr>
            <w:tcW w:w="578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Силовой кабель и кабель связи</w:t>
            </w:r>
          </w:p>
        </w:tc>
        <w:tc>
          <w:tcPr>
            <w:tcW w:w="185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c>
          <w:tcPr>
            <w:tcW w:w="1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0,7</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Приведенные нормы относятся к деревьям с диаметром кроны не более 5 м и должны быть увеличены для деревьев с кроной большего диаметра.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 Расстояния от воздушных линий электропередачи до деревьев следует принимать </w:t>
      </w:r>
      <w:r>
        <w:rPr>
          <w:rFonts w:ascii="Times New Roman" w:hAnsi="Times New Roman" w:cs="Times New Roman"/>
          <w:color w:val="000000"/>
          <w:sz w:val="28"/>
          <w:szCs w:val="28"/>
        </w:rPr>
        <w:t xml:space="preserve">по </w:t>
      </w:r>
      <w:hyperlink r:id="rId27" w:tooltip="Справочная информация: &quot;Правила устройства электроустановок (ПУЭ)&quot; (Материал подготовлен специалистами КонсультантПлюс){КонсультантПлюс}" w:history="1">
        <w:r>
          <w:rPr>
            <w:rStyle w:val="Hyperlink"/>
            <w:rFonts w:ascii="Times New Roman" w:hAnsi="Times New Roman"/>
            <w:color w:val="000000"/>
            <w:sz w:val="28"/>
            <w:szCs w:val="28"/>
            <w:u w:val="none"/>
          </w:rPr>
          <w:t>Правилам</w:t>
        </w:r>
      </w:hyperlink>
      <w:r>
        <w:rPr>
          <w:rFonts w:ascii="Times New Roman" w:hAnsi="Times New Roman" w:cs="Times New Roman"/>
          <w:sz w:val="28"/>
          <w:szCs w:val="28"/>
        </w:rPr>
        <w:t xml:space="preserve"> устройства электроустановок (ПУЭ).</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6.29.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6.30. Размещение объектов рекреационного, физкультурно-оздоровительного и спортивного назначения на особо охраняемых территориях осуществляется в соответствии с </w:t>
      </w:r>
      <w:r>
        <w:rPr>
          <w:rFonts w:ascii="Times New Roman" w:hAnsi="Times New Roman" w:cs="Times New Roman"/>
          <w:color w:val="000000"/>
          <w:sz w:val="28"/>
          <w:szCs w:val="28"/>
        </w:rPr>
        <w:t xml:space="preserve">Федеральным </w:t>
      </w:r>
      <w:hyperlink r:id="rId28" w:tooltip="Федеральный закон от 14.03.1995 N 33-ФЗ (ред. от 03.07.2016) &quot;Об особо охраняемых природных территориях&quot;{КонсультантПлюс}" w:history="1">
        <w:r>
          <w:rPr>
            <w:rStyle w:val="Hyperlink"/>
            <w:rFonts w:ascii="Times New Roman" w:hAnsi="Times New Roman"/>
            <w:color w:val="000000"/>
            <w:sz w:val="28"/>
            <w:szCs w:val="28"/>
            <w:u w:val="none"/>
          </w:rPr>
          <w:t>законом</w:t>
        </w:r>
      </w:hyperlink>
      <w:r>
        <w:rPr>
          <w:rFonts w:ascii="Times New Roman" w:hAnsi="Times New Roman" w:cs="Times New Roman"/>
          <w:sz w:val="28"/>
          <w:szCs w:val="28"/>
        </w:rPr>
        <w:t xml:space="preserve"> от 14.03.1995 № 33-ФЗ «Об особо охраняемых природных территориях», </w:t>
      </w:r>
      <w:hyperlink r:id="rId29" w:tooltip="Постановление Правительства РФ от 14.12.2009 N 1007 (ред. от 01.11.2012) &quot;Об утверждении Положения об определении функциональных зон в лесопарковых зонах, площади и границ лесопарковых зон, зеленых зон&quot;{КонсультантПлюс}" w:history="1">
        <w:r>
          <w:rPr>
            <w:rStyle w:val="Hyperlink"/>
            <w:rFonts w:ascii="Times New Roman" w:hAnsi="Times New Roman"/>
            <w:color w:val="000000"/>
            <w:sz w:val="28"/>
            <w:szCs w:val="28"/>
            <w:u w:val="none"/>
          </w:rPr>
          <w:t>Положением</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об определении функциональных зон в лесопарковых зонах, площади и границ лесопарковых зон, зеленых зон, утвержденным постановлением Правительства Российской Федерации от 14.12.2009 № 1007.</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7. Зоны сельскохозяйственного использования.</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Общие требования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 планом муниципального образования Лебяжинский сельсовет Егорьевского района Алтайского края и правилами землепользования и застройки муниципального образования Лебяжинский сельсовет Егорьевского района Алтайского края.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огородничества, животноводства, определяются в соответствии с градостроительным, земельным законодательством.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 нормативными правовыми актами органа местного самоуправления.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8. Зоны специального назначения.</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Общие требования и расчетные показатели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 В состав зон специального назначения могут включаться зоны, занятые кладбищами,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8.2. 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w:t>
      </w:r>
      <w:r>
        <w:rPr>
          <w:rFonts w:ascii="Times New Roman" w:hAnsi="Times New Roman" w:cs="Times New Roman"/>
          <w:color w:val="000000"/>
          <w:sz w:val="28"/>
          <w:szCs w:val="28"/>
        </w:rPr>
        <w:t xml:space="preserve">требованиями </w:t>
      </w:r>
      <w:hyperlink r:id="rId30"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-03.</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w:t>
      </w:r>
      <w:r>
        <w:rPr>
          <w:rFonts w:ascii="Times New Roman" w:hAnsi="Times New Roman" w:cs="Times New Roman"/>
          <w:color w:val="000000"/>
          <w:sz w:val="28"/>
          <w:szCs w:val="28"/>
        </w:rPr>
        <w:t xml:space="preserve">Федерального </w:t>
      </w:r>
      <w:hyperlink r:id="rId31" w:tooltip="Федеральный закон от 12.01.1996 N 8-ФЗ (ред. от 03.07.2016) &quot;О погребении и похоронном деле&quot;{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sz w:val="28"/>
          <w:szCs w:val="28"/>
        </w:rPr>
        <w:t xml:space="preserve"> от 12.01.1996 № 8-ФЗ «О погребении и похоронном деле», </w:t>
      </w:r>
      <w:hyperlink r:id="rId32" w:tooltip="Постановление Главного государственного санитарного врача РФ от 28.06.2011 N 84 &quot;Об утверждении СанПиН 2.1.2882-11 &quot;Гигиенические требования к размещению, устройству и содержанию кладбищ, зданий и сооружений похоронного назначения&quot; (вместе с &quot;СанПиН 2.1.2" w:history="1">
        <w:r>
          <w:rPr>
            <w:rStyle w:val="Hyperlink"/>
            <w:rFonts w:ascii="Times New Roman" w:hAnsi="Times New Roman"/>
            <w:color w:val="000000"/>
            <w:sz w:val="28"/>
            <w:szCs w:val="28"/>
            <w:u w:val="none"/>
          </w:rPr>
          <w:t>СанПиН 2.1.2882</w:t>
        </w:r>
      </w:hyperlink>
      <w:r>
        <w:rPr>
          <w:rFonts w:ascii="Times New Roman" w:hAnsi="Times New Roman" w:cs="Times New Roman"/>
          <w:color w:val="000000"/>
          <w:sz w:val="28"/>
          <w:szCs w:val="28"/>
        </w:rPr>
        <w:t>-11.</w:t>
      </w:r>
      <w:r>
        <w:rPr>
          <w:rFonts w:ascii="Times New Roman" w:hAnsi="Times New Roman" w:cs="Times New Roman"/>
          <w:sz w:val="28"/>
          <w:szCs w:val="28"/>
        </w:rPr>
        <w:t xml:space="preserve"> Кладбища с погребением путем предания тела (останков) умершего земле (захоронение в могилу, склеп) размещают на расстоянии: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от жилых, общественных зданий, спортивно-оздоровительных и санаторно-курортных зон - в соответствии с требованиями </w:t>
      </w:r>
      <w:hyperlink r:id="rId33"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-03;</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от водозаборных сооружений централизованного источника водоснабжения населения - в соответствии с </w:t>
      </w:r>
      <w:hyperlink r:id="rId34" w:tooltip="Постановление Главного государственного санитарного врача РФ от 14.03.2002 N 10 &quot;О введении в действие Санитарных правил и норм &quot;Зоны санитарной охраны источников водоснабжения и водопроводов питьевого назначения. СанПиН 2.1.4.1110-02&quot; (с изм. от 25.09.20" w:history="1">
        <w:r>
          <w:rPr>
            <w:rStyle w:val="Hyperlink"/>
            <w:rFonts w:ascii="Times New Roman" w:hAnsi="Times New Roman"/>
            <w:color w:val="000000"/>
            <w:sz w:val="28"/>
            <w:szCs w:val="28"/>
            <w:u w:val="none"/>
          </w:rPr>
          <w:t>СанПиН 2.1.4.1110</w:t>
        </w:r>
      </w:hyperlink>
      <w:r>
        <w:rPr>
          <w:rFonts w:ascii="Times New Roman" w:hAnsi="Times New Roman" w:cs="Times New Roman"/>
          <w:color w:val="000000"/>
          <w:sz w:val="28"/>
          <w:szCs w:val="28"/>
        </w:rPr>
        <w:t>-02.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8.4. Не разрешается размещать кладбища на территориях: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первого и второго поясов зоны санитарной охраны источника водоснабжения, минерального источника, первой зоны санитарной охраны курорта;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с выходом на поверхность закарстованных, сильнотрещиноватых пород и в местах выклинивания водоносных горизонтов;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берегов озер, и других открытых водоемов, используемых населением для хозяйственно-бытовых нужд, купания и культурно-оздоровительных целей;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со стоянием грунтовых вод менее двух метров от поверхности земли при наиболее высоком их стоянии, а также на затапливаемых, заболоченных.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8.6.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8.7. Скотомогильники (биотермические ямы) предназначены для: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других отходов, получаемых при переработке пищевого и непищевого сырья животного происхождения.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8.8. Размер санитарно-защитной зоны скотомогильников следует принимать в соответствии с требованиями </w:t>
      </w:r>
      <w:hyperlink r:id="rId35"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-03, п</w:t>
      </w:r>
      <w:r>
        <w:rPr>
          <w:rFonts w:ascii="Times New Roman" w:hAnsi="Times New Roman" w:cs="Times New Roman"/>
          <w:sz w:val="28"/>
          <w:szCs w:val="28"/>
        </w:rPr>
        <w:t>ри этом ориентировочный размер санитарно-защитной зоны составляет: для скотомогильников с захоронением в ямах - 1000 м, для скотомогильников с биологическими камерами - 500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8.9. Скотомогильники (биотермические ямы) проектируются в соответствии с требованиями Ветеринарно-санитарных </w:t>
      </w:r>
      <w:hyperlink r:id="rId36" w:tooltip="&quot;Ветеринарно-санитарные правила сбора, утилизации и уничтожения биологических отходов&quot; (утв. Минсельхозпродом РФ 04.12.1995 N 13-7-2/469) (ред. от 16.08.2007) (Зарегистрировано в Минюсте РФ 05.01.1996 N 1005){КонсультантПлюс}" w:history="1">
        <w:r>
          <w:rPr>
            <w:rStyle w:val="Hyperlink"/>
            <w:rFonts w:ascii="Times New Roman" w:hAnsi="Times New Roman"/>
            <w:color w:val="000000"/>
            <w:sz w:val="28"/>
            <w:szCs w:val="28"/>
            <w:u w:val="none"/>
          </w:rPr>
          <w:t>правил</w:t>
        </w:r>
      </w:hyperlink>
      <w:r>
        <w:rPr>
          <w:rFonts w:ascii="Times New Roman" w:hAnsi="Times New Roman" w:cs="Times New Roman"/>
          <w:color w:val="000000"/>
          <w:sz w:val="28"/>
          <w:szCs w:val="28"/>
        </w:rPr>
        <w:t xml:space="preserve"> с</w:t>
      </w:r>
      <w:r>
        <w:rPr>
          <w:rFonts w:ascii="Times New Roman" w:hAnsi="Times New Roman" w:cs="Times New Roman"/>
          <w:sz w:val="28"/>
          <w:szCs w:val="28"/>
        </w:rPr>
        <w:t>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8.11. Полигоны твердых бытовых отходов (ТБО) являются специальными сооружениями, предназначенными для изоляции и обезвреживания ТБО. </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8.12. Полигоны ТБО проектируются в соответствии с требованиями Федерального </w:t>
      </w:r>
      <w:hyperlink r:id="rId37" w:tooltip="Федеральный закон от 24.06.1998 N 89-ФЗ (ред. от 03.07.2016) &quot;Об отходах производства и потребления&quot;{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от 24.06.1998 № 89-ФЗ «Об отходах производства и потребления», </w:t>
      </w:r>
      <w:hyperlink r:id="rId38" w:tooltip="Постановление Главного государственного санитарного врача РФ от 30.04.2003 N 80 &quot;О введении в действие Санитарно-эпидемиологических правил и нормативов СанПиН 2.1.7.1322-03&quot; (вместе с &quot;СанПиН 2.1.7.1322-03. 2.1.7. Почва. Очистка населенных мест, отходы пр" w:history="1">
        <w:r>
          <w:rPr>
            <w:rStyle w:val="Hyperlink"/>
            <w:rFonts w:ascii="Times New Roman" w:hAnsi="Times New Roman"/>
            <w:color w:val="000000"/>
            <w:sz w:val="28"/>
            <w:szCs w:val="28"/>
            <w:u w:val="none"/>
          </w:rPr>
          <w:t>СанПиН 2.1.7.1322</w:t>
        </w:r>
      </w:hyperlink>
      <w:r>
        <w:rPr>
          <w:rFonts w:ascii="Times New Roman" w:hAnsi="Times New Roman" w:cs="Times New Roman"/>
          <w:color w:val="000000"/>
          <w:sz w:val="28"/>
          <w:szCs w:val="28"/>
        </w:rPr>
        <w:t xml:space="preserve">-03, </w:t>
      </w:r>
      <w:hyperlink r:id="rId39" w:tooltip="Постановление Главного государственного санитарного врача РФ от 30.05.2001 N 16 &quot;О введении в действие санитарных правил&quot; (вместе с &quot;СП 2.1.7.1038-01. 2.1.7. Почва, очистка населенных мест, отходы производства и потребления, санитарная охрана почвы. Гигие" w:history="1">
        <w:r>
          <w:rPr>
            <w:rStyle w:val="Hyperlink"/>
            <w:rFonts w:ascii="Times New Roman" w:hAnsi="Times New Roman"/>
            <w:color w:val="000000"/>
            <w:sz w:val="28"/>
            <w:szCs w:val="28"/>
            <w:u w:val="none"/>
          </w:rPr>
          <w:t>СП 2.1.7.1038</w:t>
        </w:r>
      </w:hyperlink>
      <w:r>
        <w:rPr>
          <w:rFonts w:ascii="Times New Roman" w:hAnsi="Times New Roman" w:cs="Times New Roman"/>
          <w:color w:val="000000"/>
          <w:sz w:val="28"/>
          <w:szCs w:val="28"/>
        </w:rPr>
        <w:t>-01.</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 соответствии с требованиями </w:t>
      </w:r>
      <w:hyperlink r:id="rId40"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 xml:space="preserve">-03 и </w:t>
      </w:r>
      <w:hyperlink r:id="rId41" w:tooltip="Постановление Главного государственного санитарного врача РФ от 30.05.2001 N 16 &quot;О введении в действие санитарных правил&quot; (вместе с &quot;СП 2.1.7.1038-01. 2.1.7. Почва, очистка населенных мест, отходы производства и потребления, санитарная охрана почвы. Гигие" w:history="1">
        <w:r>
          <w:rPr>
            <w:rStyle w:val="Hyperlink"/>
            <w:rFonts w:ascii="Times New Roman" w:hAnsi="Times New Roman"/>
            <w:color w:val="000000"/>
            <w:sz w:val="28"/>
            <w:szCs w:val="28"/>
            <w:u w:val="none"/>
          </w:rPr>
          <w:t>СП 2.1.7.1038</w:t>
        </w:r>
      </w:hyperlink>
      <w:r>
        <w:rPr>
          <w:rFonts w:ascii="Times New Roman" w:hAnsi="Times New Roman" w:cs="Times New Roman"/>
          <w:color w:val="000000"/>
          <w:sz w:val="28"/>
          <w:szCs w:val="28"/>
        </w:rPr>
        <w:t>-01.</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8.14. Не допускается размещение полигонов: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территории I, II и III поясов зон санитарной охраны водоисточников;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во всех поясах зоны санитарной охраны курортов;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зонах массового загородного отдыха населения и на территории лечебно-оздоровительных учреждений;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рекреационных зонах;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местах выклинивания водоносных горизонтов;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границах установленных водоохранных зон открытых водоемов.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8.16. 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в случаях, если возникает угроза загрязнения мест залегания полезных ископаемых.</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8.18. Размещение гаража специализированного парка автомашин осуществляется в соответствии с </w:t>
      </w:r>
      <w:hyperlink r:id="rId42" w:tooltip="Постановление Главного государственного санитарного врача РФ от 30.04.2003 N 88 (ред. от 17.05.2010) &quot;О введении в действие санитарно-эпидемиологических правил СП 2.2.1.1312-03&quot; (вместе с &quot;СП 2.2.1.1312-03. 2.2. Гигиена труда. Проектирование, строительств" w:history="1">
        <w:r>
          <w:rPr>
            <w:rStyle w:val="Hyperlink"/>
            <w:rFonts w:ascii="Times New Roman" w:hAnsi="Times New Roman"/>
            <w:color w:val="000000"/>
            <w:sz w:val="28"/>
            <w:szCs w:val="28"/>
            <w:u w:val="none"/>
          </w:rPr>
          <w:t>СП 2.2.1.1312</w:t>
        </w:r>
      </w:hyperlink>
      <w:r>
        <w:rPr>
          <w:rFonts w:ascii="Times New Roman" w:hAnsi="Times New Roman" w:cs="Times New Roman"/>
          <w:color w:val="000000"/>
          <w:sz w:val="28"/>
          <w:szCs w:val="28"/>
        </w:rPr>
        <w:t xml:space="preserve">-03, </w:t>
      </w:r>
      <w:hyperlink r:id="rId43" w:tooltip="Постановление Главного государственного санитарного врача РФ от 30.05.2001 N 16 &quot;О введении в действие санитарных правил&quot; (вместе с &quot;СП 2.1.7.1038-01. 2.1.7. Почва, очистка населенных мест, отходы производства и потребления, санитарная охрана почвы. Гигие" w:history="1">
        <w:r>
          <w:rPr>
            <w:rStyle w:val="Hyperlink"/>
            <w:rFonts w:ascii="Times New Roman" w:hAnsi="Times New Roman"/>
            <w:color w:val="000000"/>
            <w:sz w:val="28"/>
            <w:szCs w:val="28"/>
            <w:u w:val="none"/>
          </w:rPr>
          <w:t>СП 2.1.7.1038-01</w:t>
        </w:r>
      </w:hyperlink>
      <w:r>
        <w:rPr>
          <w:rFonts w:ascii="Times New Roman" w:hAnsi="Times New Roman" w:cs="Times New Roman"/>
          <w:color w:val="000000"/>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8.19.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8.20.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8.21. Подъездные пути к кладбищам, скотомогильникам, объектам размещения отходов потребления проектируются в соответствии с требованиями </w:t>
      </w:r>
      <w:hyperlink r:id="rId44" w:anchor="Par781#Par781" w:tooltip="10. Внешний транспорт" w:history="1">
        <w:r>
          <w:rPr>
            <w:rStyle w:val="Hyperlink"/>
            <w:rFonts w:ascii="Times New Roman" w:hAnsi="Times New Roman"/>
            <w:color w:val="000000"/>
            <w:sz w:val="28"/>
            <w:szCs w:val="28"/>
            <w:u w:val="none"/>
          </w:rPr>
          <w:t>главы 10</w:t>
        </w:r>
      </w:hyperlink>
      <w:r>
        <w:rPr>
          <w:rFonts w:ascii="Times New Roman" w:hAnsi="Times New Roman" w:cs="Times New Roman"/>
          <w:sz w:val="28"/>
          <w:szCs w:val="28"/>
        </w:rPr>
        <w:t xml:space="preserve"> «Внешний транспорт».</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8.22. В сельских поселениях полигоны ТБО, скотомогильники, следует размещать за границами населенных пунктов на землях промышленности и иного специального назначения.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8.23.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и др.), следует предусматривать специализированные сооружения - снегоприемные пункты. Снегоприемные пункты могут быть в виде «сухих» снежных свалок.</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8.24.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8.25. Не допускается размещение «сухих» снегосвалок в водоохранных зонах водных объектов.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8.26. Размер санитарно-защитной зоны от снегоприемных пунктов до жилой застройки следует принимать не менее 100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8.27. Допускается использование территории снегосвалки в летнее время для организации стоянки (парковки) автотранспорта или для иных целей.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8.28. Зоны размещения военных объектов предназначены для размещения объектов, в отношении территорий которых устанавливается особый режим.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8.29.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II. Расчетные показатели объектов социальной инфраструктуры</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9. Учреждения и предприятия обслуживания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w:t>
      </w:r>
      <w:hyperlink r:id="rId45" w:anchor="Par3879#Par3879" w:tooltip="Приложение Е" w:history="1">
        <w:r>
          <w:rPr>
            <w:rStyle w:val="Hyperlink"/>
            <w:rFonts w:ascii="Times New Roman" w:hAnsi="Times New Roman"/>
            <w:color w:val="000000"/>
            <w:sz w:val="28"/>
            <w:szCs w:val="28"/>
            <w:u w:val="none"/>
          </w:rPr>
          <w:t>Приложением Е</w:t>
        </w:r>
      </w:hyperlink>
      <w:r>
        <w:rPr>
          <w:rFonts w:ascii="Times New Roman" w:hAnsi="Times New Roman" w:cs="Times New Roman"/>
          <w:sz w:val="28"/>
          <w:szCs w:val="28"/>
        </w:rPr>
        <w:t xml:space="preserve"> к настоящим нормативам.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w:t>
      </w:r>
      <w:hyperlink r:id="rId46" w:anchor="Par3879#Par3879" w:tooltip="Приложение Е" w:history="1">
        <w:r>
          <w:rPr>
            <w:rStyle w:val="Hyperlink"/>
            <w:rFonts w:ascii="Times New Roman" w:hAnsi="Times New Roman"/>
            <w:color w:val="000000"/>
            <w:sz w:val="28"/>
            <w:szCs w:val="28"/>
            <w:u w:val="none"/>
          </w:rPr>
          <w:t>Приложении Е</w:t>
        </w:r>
      </w:hyperlink>
      <w:r>
        <w:rPr>
          <w:rFonts w:ascii="Times New Roman" w:hAnsi="Times New Roman" w:cs="Times New Roman"/>
          <w:sz w:val="28"/>
          <w:szCs w:val="28"/>
        </w:rPr>
        <w:t>, следует принимать по заданию на проектирование.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9.4. При определении числа, состава и вместимости учреждений и предприятий обслуживания следует дополнительно учитывать приезжающее население из поселений, а также необходимо учитывать туристов.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w:t>
      </w:r>
      <w:r>
        <w:rPr>
          <w:rFonts w:ascii="Times New Roman" w:hAnsi="Times New Roman" w:cs="Times New Roman"/>
          <w:color w:val="000000"/>
          <w:sz w:val="28"/>
          <w:szCs w:val="28"/>
        </w:rPr>
        <w:t xml:space="preserve">Федерального </w:t>
      </w:r>
      <w:hyperlink r:id="rId47"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sz w:val="28"/>
          <w:szCs w:val="28"/>
        </w:rPr>
        <w:t xml:space="preserve"> от 30.12.2006 № 271-ФЗ «О розничных рынках и о внесении изменений в Трудовой кодекс Российской Федерации» и </w:t>
      </w:r>
      <w:hyperlink r:id="rId48" w:tooltip="Постановление Администрации Алтайского края от 08.05.2007 N 195 (ред. от 18.12.2014) &quot;Об основных требованиях к торговым местам и размерах площади рынков на территории Алтайского края&quot;{КонсультантПлюс}" w:history="1">
        <w:r>
          <w:rPr>
            <w:rStyle w:val="Hyperlink"/>
            <w:rFonts w:ascii="Times New Roman" w:hAnsi="Times New Roman"/>
            <w:color w:val="000000"/>
            <w:sz w:val="28"/>
            <w:szCs w:val="28"/>
            <w:u w:val="none"/>
          </w:rPr>
          <w:t>постановления</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Администрации края от 08.05.2007 № 195 «Об основных требованиях к торговым местам и размерах площади рынков на территории Алтайского края».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9.7. Радиус обслуживания населения учреждениями и предприятиями, размещенными в жилой застройке, как правило, следует принимать не более указанного в таблице 8.</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bookmarkStart w:id="13" w:name="Par656"/>
      <w:bookmarkEnd w:id="13"/>
      <w:r>
        <w:rPr>
          <w:rFonts w:ascii="Times New Roman" w:hAnsi="Times New Roman" w:cs="Times New Roman"/>
          <w:sz w:val="28"/>
          <w:szCs w:val="28"/>
        </w:rPr>
        <w:t>Таблица 8</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7272"/>
        <w:gridCol w:w="2126"/>
      </w:tblGrid>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Учреждения и предприятия обслуживания</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Радиус обслуживания, м</w:t>
            </w: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Дошкольные образовательные организации</w:t>
            </w:r>
            <w:r>
              <w:rPr>
                <w:rFonts w:ascii="Times New Roman" w:hAnsi="Times New Roman" w:cs="Times New Roman"/>
                <w:color w:val="000000"/>
                <w:sz w:val="28"/>
                <w:szCs w:val="28"/>
              </w:rPr>
              <w:t xml:space="preserve"> </w:t>
            </w:r>
            <w:hyperlink r:id="rId49" w:tooltip="Постановление Главного государственного санитарного врача РФ от 15.05.2013 N 26 (ред. от 27.08.2015) &quot;Об утверждении СанПиН 2.4.1.3049-13 &quot;Санитарно-эпидемиологические требования к устройству, содержанию и организации режима работы дошкольных образователь" w:history="1">
              <w:r>
                <w:rPr>
                  <w:rStyle w:val="Hyperlink"/>
                  <w:rFonts w:ascii="Times New Roman" w:hAnsi="Times New Roman"/>
                  <w:color w:val="000000"/>
                  <w:sz w:val="28"/>
                  <w:szCs w:val="28"/>
                  <w:u w:val="none"/>
                </w:rPr>
                <w:t>(СанПиН 2.4.1.3049-13)</w:t>
              </w:r>
            </w:hyperlink>
            <w:r>
              <w:rPr>
                <w:rFonts w:ascii="Times New Roman" w:hAnsi="Times New Roman" w:cs="Times New Roman"/>
                <w:color w:val="000000"/>
                <w:sz w:val="28"/>
                <w:szCs w:val="28"/>
              </w:rPr>
              <w:t xml:space="preserve"> </w:t>
            </w:r>
            <w:hyperlink r:id="rId50" w:anchor="Par696#Par696" w:tooltip="&lt;*&g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 w:history="1">
              <w:r>
                <w:rPr>
                  <w:rStyle w:val="Hyperlink"/>
                  <w:rFonts w:ascii="Times New Roman" w:hAnsi="Times New Roman"/>
                  <w:color w:val="000000"/>
                  <w:sz w:val="28"/>
                  <w:szCs w:val="28"/>
                  <w:u w:val="none"/>
                </w:rPr>
                <w:t>&lt;*&gt;</w:t>
              </w:r>
            </w:hyperlink>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в сельских поселениях, при одно- и двухэтажной застройке </w:t>
            </w:r>
            <w:hyperlink r:id="rId51" w:anchor="Par697#Par697" w:tooltip="&lt;**&gt; Допускается для сельских районов радиус пешеходной доступности до 1 км." w:history="1">
              <w:r>
                <w:rPr>
                  <w:rStyle w:val="Hyperlink"/>
                  <w:rFonts w:ascii="Times New Roman" w:hAnsi="Times New Roman"/>
                  <w:color w:val="000000"/>
                  <w:sz w:val="28"/>
                  <w:szCs w:val="28"/>
                  <w:u w:val="none"/>
                </w:rPr>
                <w:t>&lt;**&gt;</w:t>
              </w:r>
            </w:hyperlink>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Помещения для физкультурно-оздоровительных занятий</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Физкультурно-спортивные центры жилых районов</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1500</w:t>
            </w: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Больницы, ФАП, амбулатории</w:t>
            </w:r>
            <w:hyperlink r:id="rId52" w:anchor="Par698#Par698" w:tooltip="&lt;***&g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 w:history="1">
              <w:r>
                <w:rPr>
                  <w:rStyle w:val="Hyperlink"/>
                  <w:rFonts w:ascii="Times New Roman" w:hAnsi="Times New Roman"/>
                  <w:color w:val="000000"/>
                  <w:sz w:val="28"/>
                  <w:szCs w:val="28"/>
                  <w:u w:val="none"/>
                </w:rPr>
                <w:t>&lt;***&gt;</w:t>
              </w:r>
            </w:hyperlink>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1000</w:t>
            </w: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Раздаточные пункты молочной кухни</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То же при одно- и двухэтажной застройке</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800</w:t>
            </w: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Аптеки </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То же при одно- и двухэтажной застройке</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800</w:t>
            </w: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Предприятия торговли, общественного питания и бытового обслуживания местного значения</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при застройке</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Средней этажности</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одно-, двухэтажной</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800</w:t>
            </w: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индивидуальной</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2000</w:t>
            </w:r>
          </w:p>
        </w:tc>
      </w:tr>
      <w:tr w:rsidR="00AA422F">
        <w:tc>
          <w:tcPr>
            <w:tcW w:w="72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Отделения почтовой связи, электросвязи, банки и филиалы банков</w:t>
            </w:r>
          </w:p>
        </w:tc>
        <w:tc>
          <w:tcPr>
            <w:tcW w:w="21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p>
    <w:p w:rsidR="00AA422F" w:rsidRDefault="00AA422F" w:rsidP="00434EF1">
      <w:pPr>
        <w:pStyle w:val="ConsPlusNormal"/>
        <w:ind w:firstLine="540"/>
        <w:jc w:val="both"/>
        <w:rPr>
          <w:rFonts w:ascii="Times New Roman" w:hAnsi="Times New Roman" w:cs="Times New Roman"/>
          <w:sz w:val="28"/>
          <w:szCs w:val="28"/>
        </w:rPr>
      </w:pPr>
      <w:bookmarkStart w:id="14" w:name="Par696"/>
      <w:bookmarkEnd w:id="14"/>
      <w:r>
        <w:rPr>
          <w:rFonts w:ascii="Times New Roman" w:hAnsi="Times New Roman" w:cs="Times New Roman"/>
          <w:sz w:val="28"/>
          <w:szCs w:val="28"/>
        </w:rPr>
        <w:t>&lt;*&gt;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сельских населенных пунктах допускается принимать по муниципальным градостроительным нормативам, а при их отсутствии - по заданию на проектирование.</w:t>
      </w:r>
    </w:p>
    <w:p w:rsidR="00AA422F" w:rsidRDefault="00AA422F" w:rsidP="00434EF1">
      <w:pPr>
        <w:pStyle w:val="ConsPlusNormal"/>
        <w:ind w:firstLine="540"/>
        <w:jc w:val="both"/>
        <w:rPr>
          <w:rFonts w:ascii="Times New Roman" w:hAnsi="Times New Roman" w:cs="Times New Roman"/>
          <w:sz w:val="28"/>
          <w:szCs w:val="28"/>
        </w:rPr>
      </w:pPr>
      <w:bookmarkStart w:id="15" w:name="Par697"/>
      <w:bookmarkEnd w:id="15"/>
      <w:r>
        <w:rPr>
          <w:rFonts w:ascii="Times New Roman" w:hAnsi="Times New Roman" w:cs="Times New Roman"/>
          <w:sz w:val="28"/>
          <w:szCs w:val="28"/>
        </w:rPr>
        <w:t>&lt;**&gt; Допускается радиус пешеходной доступности до 1 км.</w:t>
      </w:r>
    </w:p>
    <w:p w:rsidR="00AA422F" w:rsidRDefault="00AA422F" w:rsidP="00434EF1">
      <w:pPr>
        <w:pStyle w:val="ConsPlusNormal"/>
        <w:ind w:firstLine="540"/>
        <w:jc w:val="both"/>
        <w:rPr>
          <w:rFonts w:ascii="Times New Roman" w:hAnsi="Times New Roman" w:cs="Times New Roman"/>
          <w:sz w:val="28"/>
          <w:szCs w:val="28"/>
        </w:rPr>
      </w:pPr>
      <w:bookmarkStart w:id="16" w:name="Par698"/>
      <w:bookmarkEnd w:id="16"/>
      <w:r>
        <w:rPr>
          <w:rFonts w:ascii="Times New Roman" w:hAnsi="Times New Roman" w:cs="Times New Roman"/>
          <w:sz w:val="28"/>
          <w:szCs w:val="28"/>
        </w:rPr>
        <w:t>&lt;***&gt;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9.8. Уровень доступности общеобразовательных организаций в муниципальных образованиях следует принимать по </w:t>
      </w:r>
      <w:hyperlink r:id="rId53" w:tooltip="Постановление Главного государственного санитарного врача РФ от 29.12.2010 N 189 (ред. от 24.11.2015) &quot;Об утверждении СанПиН 2.4.2.2821-10 &quot;Санитарно-эпидемиологические требования к условиям и организации обучения в общеобразовательных учреждениях&quot; (вмест" w:history="1">
        <w:r>
          <w:rPr>
            <w:rStyle w:val="Hyperlink"/>
            <w:rFonts w:ascii="Times New Roman" w:hAnsi="Times New Roman"/>
            <w:color w:val="000000"/>
            <w:sz w:val="28"/>
            <w:szCs w:val="28"/>
            <w:u w:val="none"/>
          </w:rPr>
          <w:t>СанПиН 2.4.2.2821</w:t>
        </w:r>
      </w:hyperlink>
      <w:r>
        <w:rPr>
          <w:rFonts w:ascii="Times New Roman" w:hAnsi="Times New Roman" w:cs="Times New Roman"/>
          <w:color w:val="000000"/>
          <w:sz w:val="28"/>
          <w:szCs w:val="28"/>
        </w:rPr>
        <w:t>-10:</w:t>
      </w:r>
      <w:r>
        <w:rPr>
          <w:rFonts w:ascii="Times New Roman" w:hAnsi="Times New Roman" w:cs="Times New Roman"/>
          <w:sz w:val="28"/>
          <w:szCs w:val="28"/>
        </w:rPr>
        <w:t xml:space="preserve"> для обучающихся начального общего и основного общего образования не более 400 м, для обучающихся  среднего общего образования – не более 500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9.9. Размещение общеобразовательных организаций допускается на  расстоянии транспортной доступности: для обучающихся начального общего образования – не более 15 минут в одну сторону, для обучающихся основного общего и среднего общего образования – не более 50 минут в одну сторону. </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9.10. В сельских населенных пунктах размещение общеобразовательных организаций должно предусматривать для обучающихся  начального общего  образования - не более 2 км пешком и не более 15 мин. в одну сторону при транспортном обслуживании, для обучающихся основного общего и среднего общего образования - не более 4 км, и  не более 30 минут в одну сторону.</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9.10. При расстояниях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Допускается увеличение радиуса пешеходной доступности до остановки до 1 км.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9.11.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9.12.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9.13. Расстояния от зданий и границ земельных участков учреждений и предприятий обслуживания следует принимать не менее приведенных в таблице 9.</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bookmarkStart w:id="17" w:name="Par710"/>
      <w:bookmarkEnd w:id="17"/>
      <w:r>
        <w:rPr>
          <w:rFonts w:ascii="Times New Roman" w:hAnsi="Times New Roman" w:cs="Times New Roman"/>
          <w:sz w:val="28"/>
          <w:szCs w:val="28"/>
        </w:rPr>
        <w:t>Таблица 9</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542"/>
        <w:gridCol w:w="2481"/>
        <w:gridCol w:w="1046"/>
        <w:gridCol w:w="2333"/>
      </w:tblGrid>
      <w:tr w:rsidR="00AA422F">
        <w:tc>
          <w:tcPr>
            <w:tcW w:w="3542"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Здания (земельные участки) организаций обслуживания</w:t>
            </w:r>
          </w:p>
        </w:tc>
        <w:tc>
          <w:tcPr>
            <w:tcW w:w="5860"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Расстояния от зданий (границ участков) организаций обслуживания, м</w:t>
            </w:r>
          </w:p>
        </w:tc>
      </w:tr>
      <w:tr w:rsidR="00AA422F">
        <w:tc>
          <w:tcPr>
            <w:tcW w:w="3542"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248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до красной линии</w:t>
            </w:r>
          </w:p>
        </w:tc>
        <w:tc>
          <w:tcPr>
            <w:tcW w:w="104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до стен жилых домов</w:t>
            </w:r>
          </w:p>
        </w:tc>
        <w:tc>
          <w:tcPr>
            <w:tcW w:w="2333"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до зданий детских дошкольных образовательных и общеобразовательных организаций, медицинских организаций</w:t>
            </w:r>
          </w:p>
        </w:tc>
      </w:tr>
      <w:tr w:rsidR="00AA422F">
        <w:tc>
          <w:tcPr>
            <w:tcW w:w="3542"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248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 сельских поселениях</w:t>
            </w:r>
          </w:p>
        </w:tc>
        <w:tc>
          <w:tcPr>
            <w:tcW w:w="104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2333"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r>
      <w:tr w:rsidR="00AA422F">
        <w:tc>
          <w:tcPr>
            <w:tcW w:w="35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Детские дошкольные образовательные и общеобразовательные организации (земельный участок)</w:t>
            </w:r>
          </w:p>
        </w:tc>
        <w:tc>
          <w:tcPr>
            <w:tcW w:w="248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c>
          <w:tcPr>
            <w:tcW w:w="3379"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по нормам инсоляции и освещенности</w:t>
            </w:r>
          </w:p>
        </w:tc>
      </w:tr>
      <w:tr w:rsidR="00AA422F">
        <w:tc>
          <w:tcPr>
            <w:tcW w:w="35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Больницы, родильные дома и другие лечебные стационары (здания)</w:t>
            </w:r>
          </w:p>
        </w:tc>
        <w:tc>
          <w:tcPr>
            <w:tcW w:w="248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c>
          <w:tcPr>
            <w:tcW w:w="3379"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30 - 50 (в зависимости от этажности)</w:t>
            </w:r>
          </w:p>
        </w:tc>
      </w:tr>
      <w:tr w:rsidR="00AA422F">
        <w:tc>
          <w:tcPr>
            <w:tcW w:w="35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Приемные пункты вторичного сырья</w:t>
            </w:r>
          </w:p>
        </w:tc>
        <w:tc>
          <w:tcPr>
            <w:tcW w:w="248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20 </w:t>
            </w:r>
            <w:hyperlink r:id="rId54" w:anchor="Par763#Par763" w:tooltip="&lt;*&gt; С входами и окнами." w:history="1">
              <w:r>
                <w:rPr>
                  <w:rStyle w:val="Hyperlink"/>
                  <w:rFonts w:ascii="Times New Roman" w:hAnsi="Times New Roman"/>
                  <w:color w:val="000000"/>
                  <w:sz w:val="28"/>
                  <w:szCs w:val="28"/>
                  <w:u w:val="none"/>
                </w:rPr>
                <w:t>&lt;*&gt;</w:t>
              </w:r>
            </w:hyperlink>
          </w:p>
        </w:tc>
        <w:tc>
          <w:tcPr>
            <w:tcW w:w="23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r>
      <w:tr w:rsidR="00AA422F">
        <w:tc>
          <w:tcPr>
            <w:tcW w:w="35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Пожарные депо</w:t>
            </w:r>
          </w:p>
        </w:tc>
        <w:tc>
          <w:tcPr>
            <w:tcW w:w="248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0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23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r w:rsidR="00AA422F">
        <w:tc>
          <w:tcPr>
            <w:tcW w:w="35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pacing w:val="-4"/>
                <w:sz w:val="28"/>
                <w:szCs w:val="28"/>
              </w:rPr>
              <w:t>Кладбища смешанного</w:t>
            </w:r>
            <w:r>
              <w:rPr>
                <w:rFonts w:ascii="Times New Roman" w:hAnsi="Times New Roman" w:cs="Times New Roman"/>
                <w:sz w:val="28"/>
                <w:szCs w:val="28"/>
              </w:rPr>
              <w:t xml:space="preserve"> и традиционного </w:t>
            </w:r>
            <w:r>
              <w:rPr>
                <w:rFonts w:ascii="Times New Roman" w:hAnsi="Times New Roman" w:cs="Times New Roman"/>
                <w:spacing w:val="-4"/>
                <w:sz w:val="28"/>
                <w:szCs w:val="28"/>
              </w:rPr>
              <w:t>за-хоронения площадью</w:t>
            </w:r>
            <w:r>
              <w:rPr>
                <w:rFonts w:ascii="Times New Roman" w:hAnsi="Times New Roman" w:cs="Times New Roman"/>
                <w:sz w:val="28"/>
                <w:szCs w:val="28"/>
              </w:rPr>
              <w:t xml:space="preserve"> от 20 до 40 га</w:t>
            </w:r>
          </w:p>
        </w:tc>
        <w:tc>
          <w:tcPr>
            <w:tcW w:w="248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c>
          <w:tcPr>
            <w:tcW w:w="23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r>
      <w:tr w:rsidR="00AA422F">
        <w:tc>
          <w:tcPr>
            <w:tcW w:w="35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pacing w:val="-4"/>
                <w:sz w:val="28"/>
                <w:szCs w:val="28"/>
              </w:rPr>
              <w:t>Кладбища смешанного</w:t>
            </w:r>
            <w:r>
              <w:rPr>
                <w:rFonts w:ascii="Times New Roman" w:hAnsi="Times New Roman" w:cs="Times New Roman"/>
                <w:sz w:val="28"/>
                <w:szCs w:val="28"/>
              </w:rPr>
              <w:t xml:space="preserve"> и традиционного за-хоронения площадью от 10 до 20 га</w:t>
            </w:r>
          </w:p>
        </w:tc>
        <w:tc>
          <w:tcPr>
            <w:tcW w:w="248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c>
          <w:tcPr>
            <w:tcW w:w="23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r>
      <w:tr w:rsidR="00AA422F">
        <w:tc>
          <w:tcPr>
            <w:tcW w:w="35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Кладбища смешанного и традиционного захоронения площадью 10 га и менее</w:t>
            </w:r>
          </w:p>
        </w:tc>
        <w:tc>
          <w:tcPr>
            <w:tcW w:w="248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c>
          <w:tcPr>
            <w:tcW w:w="23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r>
      <w:tr w:rsidR="00AA422F">
        <w:tc>
          <w:tcPr>
            <w:tcW w:w="35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Кладбища для погребения после кремации</w:t>
            </w:r>
          </w:p>
        </w:tc>
        <w:tc>
          <w:tcPr>
            <w:tcW w:w="248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c>
          <w:tcPr>
            <w:tcW w:w="23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r>
      <w:tr w:rsidR="00AA422F">
        <w:tc>
          <w:tcPr>
            <w:tcW w:w="35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Закрытые кладбища и мемориальные комплексы, кладбища с погребением после </w:t>
            </w:r>
            <w:r>
              <w:rPr>
                <w:rFonts w:ascii="Times New Roman" w:hAnsi="Times New Roman" w:cs="Times New Roman"/>
                <w:spacing w:val="-4"/>
                <w:sz w:val="28"/>
                <w:szCs w:val="28"/>
              </w:rPr>
              <w:t>кремации, колумбарии,</w:t>
            </w:r>
            <w:r>
              <w:rPr>
                <w:rFonts w:ascii="Times New Roman" w:hAnsi="Times New Roman" w:cs="Times New Roman"/>
                <w:sz w:val="28"/>
                <w:szCs w:val="28"/>
              </w:rPr>
              <w:t xml:space="preserve"> сельские кладбища</w:t>
            </w:r>
          </w:p>
        </w:tc>
        <w:tc>
          <w:tcPr>
            <w:tcW w:w="248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23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p>
    <w:p w:rsidR="00AA422F" w:rsidRDefault="00AA422F" w:rsidP="00434EF1">
      <w:pPr>
        <w:pStyle w:val="ConsPlusNormal"/>
        <w:ind w:firstLine="540"/>
        <w:jc w:val="both"/>
        <w:rPr>
          <w:rFonts w:ascii="Times New Roman" w:hAnsi="Times New Roman" w:cs="Times New Roman"/>
          <w:sz w:val="28"/>
          <w:szCs w:val="28"/>
        </w:rPr>
      </w:pPr>
      <w:bookmarkStart w:id="18" w:name="Par763"/>
      <w:bookmarkEnd w:id="18"/>
      <w:r>
        <w:rPr>
          <w:rFonts w:ascii="Times New Roman" w:hAnsi="Times New Roman" w:cs="Times New Roman"/>
          <w:sz w:val="28"/>
          <w:szCs w:val="28"/>
        </w:rPr>
        <w:t>&lt;*&gt; С входами и окнами.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Вновь строящиеся здания дошкольных образовательных и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соответствующие требованиям санитарных правил и нормативов.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органами санитарного надзора, но принимать не менее 100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организаций спортивно-оздоровительных, культурно-просветительных организаций и организаций социального обеспечения должно составлять не менее 50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III. Расчетные показатели объектов</w:t>
      </w:r>
    </w:p>
    <w:p w:rsidR="00AA422F" w:rsidRDefault="00AA422F" w:rsidP="00434EF1">
      <w:pPr>
        <w:pStyle w:val="ConsPlusNormal"/>
        <w:jc w:val="center"/>
        <w:rPr>
          <w:rFonts w:ascii="Times New Roman" w:hAnsi="Times New Roman" w:cs="Times New Roman"/>
          <w:b/>
          <w:bCs/>
          <w:sz w:val="28"/>
          <w:szCs w:val="28"/>
        </w:rPr>
      </w:pPr>
      <w:r>
        <w:rPr>
          <w:rFonts w:ascii="Times New Roman" w:hAnsi="Times New Roman" w:cs="Times New Roman"/>
          <w:sz w:val="28"/>
          <w:szCs w:val="28"/>
        </w:rPr>
        <w:t>транспортной инфраструктуры</w:t>
      </w:r>
    </w:p>
    <w:p w:rsidR="00AA422F" w:rsidRDefault="00AA422F" w:rsidP="00434EF1">
      <w:pPr>
        <w:pStyle w:val="ConsPlusNormal"/>
        <w:jc w:val="both"/>
        <w:rPr>
          <w:rFonts w:ascii="Times New Roman" w:hAnsi="Times New Roman" w:cs="Times New Roman"/>
          <w:b/>
          <w:bCs/>
          <w:sz w:val="28"/>
          <w:szCs w:val="28"/>
        </w:rPr>
      </w:pPr>
    </w:p>
    <w:p w:rsidR="00AA422F" w:rsidRDefault="00AA422F" w:rsidP="00434EF1">
      <w:pPr>
        <w:pStyle w:val="ConsPlusNormal"/>
        <w:jc w:val="center"/>
        <w:outlineLvl w:val="3"/>
        <w:rPr>
          <w:rFonts w:ascii="Times New Roman" w:hAnsi="Times New Roman" w:cs="Times New Roman"/>
          <w:sz w:val="28"/>
          <w:szCs w:val="28"/>
        </w:rPr>
      </w:pPr>
      <w:bookmarkStart w:id="19" w:name="Par781"/>
      <w:bookmarkEnd w:id="19"/>
      <w:r>
        <w:rPr>
          <w:rFonts w:ascii="Times New Roman" w:hAnsi="Times New Roman" w:cs="Times New Roman"/>
          <w:sz w:val="28"/>
          <w:szCs w:val="28"/>
        </w:rPr>
        <w:t>10. Внешний транспорт</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 Внешний транспорт (автомобильный)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 Для улучшения обслуживания пассажиров целесообразно проектировать объединенные транспортные узлы (пассажирские вокзалы и автостанции).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10.4. В соответствии с </w:t>
      </w:r>
      <w:r>
        <w:rPr>
          <w:rFonts w:ascii="Times New Roman" w:hAnsi="Times New Roman" w:cs="Times New Roman"/>
          <w:color w:val="000000"/>
          <w:sz w:val="28"/>
          <w:szCs w:val="28"/>
        </w:rPr>
        <w:t xml:space="preserve">Федеральным </w:t>
      </w:r>
      <w:hyperlink r:id="rId55"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 w:history="1">
        <w:r>
          <w:rPr>
            <w:rStyle w:val="Hyperlink"/>
            <w:rFonts w:ascii="Times New Roman" w:hAnsi="Times New Roman"/>
            <w:color w:val="000000"/>
            <w:sz w:val="28"/>
            <w:szCs w:val="28"/>
            <w:u w:val="none"/>
          </w:rPr>
          <w:t>законом</w:t>
        </w:r>
      </w:hyperlink>
      <w:r>
        <w:rPr>
          <w:rFonts w:ascii="Times New Roman" w:hAnsi="Times New Roman" w:cs="Times New Roman"/>
          <w:sz w:val="28"/>
          <w:szCs w:val="28"/>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автомобильные дороги регионального значения;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межмуниципального значения;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автомобильные дороги местного значения.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10.5.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10.6. Порядок установления и использования полос отвода автомобильных дорого регионального,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10.7.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75 м - для автомобильных дорог I и II категорий;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50 м - для автомобильных дорог III, IV и V категорий;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10.8. Решение об установлении границ придорожных полос автомобильных дорог регионального, межмуниципального, местного значения или об изменении границ таких придорожных полос принимается соответственно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10.9. Порядок установления и использования придорожных полос автомобильных дорог регионального, межмуниципального, местного значения может устанавливаться соответственно Правительством Алтайского края, органом местного самоуправления.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10.10. Проектирование автомобильных дорог осуществляются в соответствии с требованиями Градостроительного </w:t>
      </w:r>
      <w:hyperlink r:id="rId56" w:tooltip="&quot;Градостроительный кодекс Российской Федерации&quot; от 29.12.2004 N 190-ФЗ (ред. от 03.07.2016) (с изм. и доп., вступ. в силу с 01.09.2016){КонсультантПлюс}" w:history="1">
        <w:r>
          <w:rPr>
            <w:rStyle w:val="Hyperlink"/>
            <w:rFonts w:ascii="Times New Roman" w:hAnsi="Times New Roman"/>
            <w:color w:val="000000"/>
            <w:sz w:val="28"/>
            <w:szCs w:val="28"/>
            <w:u w:val="none"/>
          </w:rPr>
          <w:t>кодекса</w:t>
        </w:r>
      </w:hyperlink>
      <w:r>
        <w:rPr>
          <w:rFonts w:ascii="Times New Roman" w:hAnsi="Times New Roman" w:cs="Times New Roman"/>
          <w:sz w:val="28"/>
          <w:szCs w:val="28"/>
        </w:rPr>
        <w:t xml:space="preserve"> Российской Федерации, Федерального </w:t>
      </w:r>
      <w:hyperlink r:id="rId57"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 w:history="1">
        <w:r>
          <w:rPr>
            <w:rStyle w:val="Hyperlink"/>
            <w:rFonts w:ascii="Times New Roman" w:hAnsi="Times New Roman"/>
            <w:color w:val="000000"/>
            <w:sz w:val="28"/>
            <w:szCs w:val="28"/>
            <w:u w:val="none"/>
          </w:rPr>
          <w:t>закона</w:t>
        </w:r>
      </w:hyperlink>
      <w:r>
        <w:rPr>
          <w:rFonts w:ascii="Times New Roman" w:hAnsi="Times New Roman" w:cs="Times New Roman"/>
          <w:sz w:val="28"/>
          <w:szCs w:val="28"/>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w:t>
      </w:r>
      <w:hyperlink r:id="rId58" w:tooltip="Федеральный закон от 10.12.1995 N 196-ФЗ (ред. от 03.07.2016) &quot;О безопасности дорожного движения&quot; (с изм. и доп., вступ. в силу с 15.07.2016){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от 10.12.1995 № 196-ФЗ «О безопасности дорожного движения», СП 34.13330.2012.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10.11.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59" w:tooltip="Постановление Правительства РФ от 02.09.2009 N 717 (ред. от 11.03.2011) &quot;О нормах отвода земель для размещения автомобильных дорог и (или) объектов дорожного сервиса&quot;{КонсультантПлюс}" w:history="1">
        <w:r>
          <w:rPr>
            <w:rStyle w:val="Hyperlink"/>
            <w:rFonts w:ascii="Times New Roman" w:hAnsi="Times New Roman"/>
            <w:color w:val="000000"/>
            <w:sz w:val="28"/>
            <w:szCs w:val="28"/>
            <w:u w:val="none"/>
          </w:rPr>
          <w:t>постановления</w:t>
        </w:r>
      </w:hyperlink>
      <w:r>
        <w:rPr>
          <w:rFonts w:ascii="Times New Roman" w:hAnsi="Times New Roman" w:cs="Times New Roman"/>
          <w:sz w:val="28"/>
          <w:szCs w:val="28"/>
        </w:rPr>
        <w:t xml:space="preserve"> Правительства Российской Федерации от 02.09.2009 № 717 «О нормах отвода земель для размещения автомобильных дорог и (или) объектов дорожного сервиса».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10.12.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10.13. Расстояния от бровки земляного полотна автомобильных дорог до застройки необходимо принимать не менее приведенных в таблице 10.</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10</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597"/>
        <w:gridCol w:w="2952"/>
        <w:gridCol w:w="4090"/>
      </w:tblGrid>
      <w:tr w:rsidR="00AA422F">
        <w:tc>
          <w:tcPr>
            <w:tcW w:w="2597"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Категория автомобильных дорог</w:t>
            </w:r>
          </w:p>
        </w:tc>
        <w:tc>
          <w:tcPr>
            <w:tcW w:w="7042"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Расстояние от бровки земляного полотна, м</w:t>
            </w:r>
          </w:p>
        </w:tc>
      </w:tr>
      <w:tr w:rsidR="00AA422F">
        <w:tc>
          <w:tcPr>
            <w:tcW w:w="2597"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29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до жилой застройки</w:t>
            </w:r>
          </w:p>
        </w:tc>
        <w:tc>
          <w:tcPr>
            <w:tcW w:w="409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до садоводческих огороднических, дачных объединений</w:t>
            </w:r>
          </w:p>
        </w:tc>
      </w:tr>
      <w:tr w:rsidR="00AA422F">
        <w:tc>
          <w:tcPr>
            <w:tcW w:w="259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III</w:t>
            </w:r>
          </w:p>
        </w:tc>
        <w:tc>
          <w:tcPr>
            <w:tcW w:w="29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не менее 100</w:t>
            </w:r>
          </w:p>
        </w:tc>
        <w:tc>
          <w:tcPr>
            <w:tcW w:w="409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не менее 50</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10.14. Для защиты застройки от шума следует предусматривать мероприятия по шумовой защите, в том числе шумозащитные устройства и полосу зеленых насаждений вдоль дороги шириной не менее 10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10.15.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11</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424"/>
        <w:gridCol w:w="1963"/>
        <w:gridCol w:w="2252"/>
      </w:tblGrid>
      <w:tr w:rsidR="00AA422F">
        <w:tc>
          <w:tcPr>
            <w:tcW w:w="5424"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Нормируемый показатель</w:t>
            </w:r>
          </w:p>
        </w:tc>
        <w:tc>
          <w:tcPr>
            <w:tcW w:w="4215"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Рекомендуемое значение показателя</w:t>
            </w:r>
          </w:p>
        </w:tc>
      </w:tr>
      <w:tr w:rsidR="00AA422F">
        <w:tc>
          <w:tcPr>
            <w:tcW w:w="5424"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при новом строительстве</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при благоустройстве и в стесненных условиях</w:t>
            </w: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Расчетная скорость движения, км/ч</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Ширина проезжей части, м</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не менее 2,2</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Ширина обочин, м</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0,25</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0,25</w:t>
            </w: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Наименьший радиус кривых в плане, м</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при отсутствии виража</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150</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при наличии виража</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Наименьший радиус кривых в продольном профиле, м</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выпуклых</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600</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400</w:t>
            </w: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вогнутых</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150</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Продольный уклон, промилле</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Уклон виража (промилле) при радиусе</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10 м</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10 - 50 м</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Габарит по высоте, м</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r>
      <w:tr w:rsidR="00AA422F">
        <w:tc>
          <w:tcPr>
            <w:tcW w:w="5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Минимальное расстояние до препятствия, м</w:t>
            </w:r>
          </w:p>
        </w:tc>
        <w:tc>
          <w:tcPr>
            <w:tcW w:w="196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c>
          <w:tcPr>
            <w:tcW w:w="22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0,4</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10.16.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w:t>
      </w:r>
      <w:hyperlink r:id="rId60" w:tooltip="Постановление Правительства РФ от 29.10.2009 N 860 (ред. от 27.08.2015) &quot;О требованиях к обеспеченности автомобильных дорог общего пользования объектами дорожного сервиса, размещаемыми в границах полос отвода&quot; (вместе с &quot;Минимально необходимыми для обслуж" w:history="1">
        <w:r>
          <w:rPr>
            <w:rStyle w:val="Hyperlink"/>
            <w:rFonts w:ascii="Times New Roman" w:hAnsi="Times New Roman"/>
            <w:color w:val="000000"/>
            <w:sz w:val="28"/>
            <w:szCs w:val="28"/>
            <w:u w:val="none"/>
          </w:rPr>
          <w:t>постановления</w:t>
        </w:r>
      </w:hyperlink>
      <w:r>
        <w:rPr>
          <w:rFonts w:ascii="Times New Roman" w:hAnsi="Times New Roman" w:cs="Times New Roman"/>
          <w:sz w:val="28"/>
          <w:szCs w:val="28"/>
        </w:rPr>
        <w:t xml:space="preserve">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w:t>
      </w:r>
      <w:hyperlink r:id="rId61" w:tooltip="Постановление Администрации Алтайского края от 06.04.2009 N 144 (ред. от 01.03.2016) &quot;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 w:history="1">
        <w:r>
          <w:rPr>
            <w:rStyle w:val="Hyperlink"/>
            <w:rFonts w:ascii="Times New Roman" w:hAnsi="Times New Roman"/>
            <w:color w:val="000000"/>
            <w:sz w:val="28"/>
            <w:szCs w:val="28"/>
            <w:u w:val="none"/>
          </w:rPr>
          <w:t>постановления</w:t>
        </w:r>
      </w:hyperlink>
      <w:r>
        <w:rPr>
          <w:rFonts w:ascii="Times New Roman" w:hAnsi="Times New Roman" w:cs="Times New Roman"/>
          <w:sz w:val="28"/>
          <w:szCs w:val="28"/>
        </w:rPr>
        <w:t xml:space="preserve"> Администрации Алтайского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10.17. Размещение объектов дорожного сервиса в границах придорожных полос автомобильных дорог регионального, межмуниципального или местного значения должно осуществляться при условии согласования соответственно с уполномоченным органом исполнительной власти Алтайского края, органом местного самоуправления.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10.18. 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10.19.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10.20. Предприятия и объекты автосервиса по функциональному значению могут быть разделены на три группы обслуживания: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пассажирские перевозки;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подвижной состав;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грузовые перевозки.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10.21.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10.22.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10.23.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10.24.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10.25.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10.26.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5 постов - 0,5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10 постов - 1,0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15 постов - 1,5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25 постов - 2,0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40 постов - 3,5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10.27.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2 колонки - 0,1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5 колонок - 0,2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7 колонок - 0,3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9 колонок - 0,35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11 колонок - 0,4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10.28. Расстояния от АЗС, станций технического обслуживания и моек автомобилей до границ земельных участков дошкольных образовательных и общеобразовательных организаций, лечебно- профилактических медицинских организаций со стационаром или до стен жилых и других общественных зданий и сооружений следует принимать в соответствии с требованиями </w:t>
      </w:r>
      <w:hyperlink r:id="rId62"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-03</w:t>
      </w:r>
      <w:r>
        <w:rPr>
          <w:rFonts w:ascii="Times New Roman" w:hAnsi="Times New Roman" w:cs="Times New Roman"/>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10.29.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w:t>
      </w:r>
      <w:hyperlink r:id="rId63" w:tooltip="Федеральный закон от 22.07.2008 N 123-ФЗ (ред. от 03.07.2016) &quot;Технический регламент о требованиях пожарной безопасности&quot;{КонсультантПлюс}" w:history="1">
        <w:r>
          <w:rPr>
            <w:rStyle w:val="Hyperlink"/>
            <w:rFonts w:ascii="Times New Roman" w:hAnsi="Times New Roman"/>
            <w:color w:val="000000"/>
            <w:sz w:val="28"/>
            <w:szCs w:val="28"/>
            <w:u w:val="none"/>
          </w:rPr>
          <w:t>статьей 71</w:t>
        </w:r>
      </w:hyperlink>
      <w:r>
        <w:rPr>
          <w:rFonts w:ascii="Times New Roman" w:hAnsi="Times New Roman" w:cs="Times New Roman"/>
          <w:sz w:val="28"/>
          <w:szCs w:val="28"/>
        </w:rPr>
        <w:t xml:space="preserve"> Федерального закона от 22.07.2008 № 123-ФЗ «Технический регламент о требованиях пожарной безопасности».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10.30.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10.31. Ориентировочная площадь отвода участков под строительство предприятий и объектов автосервиса представлена в таблице 12.</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12</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66"/>
        <w:gridCol w:w="6931"/>
        <w:gridCol w:w="2568"/>
      </w:tblGrid>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N п/п</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Ориентировочная площадь земельного участка, га</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Автопавильон на 10 пассажиров</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0,08</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2.</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Автопавильон на 20 пассажиров</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0,10</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3.</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Пассажирская автостанция (ПАС) вместимостью 10 чел.</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0,45</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4.</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ПАС вместимостью 25 чел.</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0,65</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5.</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ПАС вместимостью 50 чел.</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0,75</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6.</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ПАС вместимостью 75 чел.</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0,90</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7.</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Площадка-стоянка на 5 грузовых автомобилей</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0,03 - 0,08</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8.</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Площадка-стоянка на 5 автопоездов</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0,07</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9.</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Пост ГИБДД</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0,10</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10.</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Притрассовая площадка отдыха, смотровая эстакада, туалет</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0,01 - 0,04</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11.</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Притрассовая площадка отдыха, предприятия торговли и общественного питания, туалет</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0,7 - 1,0</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12.</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АЗС, туалет, предприятия торговли и общественного питания</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1,50</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13.</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АЗС, СТО, предприятия торговли и общественного питания, моечный пункт, комнаты отдыха</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3,50</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14.</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Кемпинг, АЗС, СТО, туалет, медицинский пункт, моечный пункт, предприятия торговли и общественного питания, площадка-стоянка</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15.</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Мотель, кемпинг, площадка-стоянка, туалет, предприятия торговли и общественного питания, АЗС, СТО, моечный пункт, медицинский пункт</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9,5</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16.</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Пассажирская автостанция, площадка-стоянка, предприятия торговли и общественного питания, комнаты отдыха, пост ГИБДД</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0,45 - 0,9</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17.</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Автовокзал, площадка-стоянка, предприятия торговли и общественного питания, медицинский пункт, пикет милиции</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1,8</w:t>
            </w:r>
          </w:p>
        </w:tc>
      </w:tr>
      <w:tr w:rsidR="00AA422F">
        <w:tc>
          <w:tcPr>
            <w:tcW w:w="5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18.</w:t>
            </w:r>
          </w:p>
        </w:tc>
        <w:tc>
          <w:tcPr>
            <w:tcW w:w="6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Грузовая автостанция, площадка-стоянка, моечный пункт, комната отдыха, медицинский пункт, туалет</w:t>
            </w:r>
          </w:p>
        </w:tc>
        <w:tc>
          <w:tcPr>
            <w:tcW w:w="25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2,0 - 4,0</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При водоснабжении комплекса от проектируемой артезианской скважины добавлять 1 га к указанной площади.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При проектировании котельной к площади комплекса добавлять от 0,4 до 0,7 га.</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10.32. Нормативы минимальной обеспеченности населения пунктами технического осмотра на территории муниципального образования Первомайский сельсовет Егорьевского района Алтайского края приведены в </w:t>
      </w:r>
      <w:hyperlink r:id="rId64" w:anchor="Par5010#Par5010" w:tooltip="Приложение И" w:history="1">
        <w:r>
          <w:rPr>
            <w:rStyle w:val="Hyperlink"/>
            <w:rFonts w:ascii="Times New Roman" w:hAnsi="Times New Roman"/>
            <w:color w:val="000000"/>
            <w:sz w:val="28"/>
            <w:szCs w:val="28"/>
            <w:u w:val="none"/>
          </w:rPr>
          <w:t>Приложении И</w:t>
        </w:r>
      </w:hyperlink>
      <w:r>
        <w:rPr>
          <w:rFonts w:ascii="Times New Roman" w:hAnsi="Times New Roman" w:cs="Times New Roman"/>
          <w:color w:val="000000"/>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10.33. Аэродромы и вертодромы следует размещать в соответствии с требованиями Федеральных </w:t>
      </w:r>
      <w:hyperlink r:id="rId65" w:tooltip="Постановление Правительства РФ от 11.03.2010 N 138 (ред. от 12.07.2016) &quot;Об утверждении Федеральных правил использования воздушного пространства Российской Федерации&quot;{КонсультантПлюс}" w:history="1">
        <w:r>
          <w:rPr>
            <w:rStyle w:val="Hyperlink"/>
            <w:rFonts w:ascii="Times New Roman" w:hAnsi="Times New Roman"/>
            <w:color w:val="000000"/>
            <w:sz w:val="28"/>
            <w:szCs w:val="28"/>
            <w:u w:val="none"/>
          </w:rPr>
          <w:t>правил</w:t>
        </w:r>
      </w:hyperlink>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использования воздушного пространства Российской Федерации, утвержденных постановлением Правительства Российской Федерации от 11.03.2010 N 138, СП 121.13330.2012, </w:t>
      </w:r>
      <w:hyperlink r:id="rId66"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 xml:space="preserve">-03. </w:t>
      </w:r>
      <w:r>
        <w:rPr>
          <w:rFonts w:ascii="Times New Roman" w:hAnsi="Times New Roman" w:cs="Times New Roman"/>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 вертодромов.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10.34. Размещение объектов водного транспорта осуществляется с учетом требований </w:t>
      </w:r>
      <w:hyperlink r:id="rId67" w:tooltip="&quot;Кодекс внутреннего водного транспорта Российской Федерации&quot; от 07.03.2001 N 24-ФЗ (ред. от 03.07.2016){КонсультантПлюс}" w:history="1">
        <w:r>
          <w:rPr>
            <w:rStyle w:val="Hyperlink"/>
            <w:rFonts w:ascii="Times New Roman" w:hAnsi="Times New Roman"/>
            <w:color w:val="000000"/>
            <w:sz w:val="28"/>
            <w:szCs w:val="28"/>
            <w:u w:val="none"/>
          </w:rPr>
          <w:t>Кодекса</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внутреннего водного транспорта Российской Федерации от 07.03.2001 № 24-ФЗ.</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10.35. Береговые базы и места стоянки маломерных судов, принадлежащих спортивным клубам и отдельным гражданам, следует размещать за пределами населенных пунктов, а в пределах населенных пунктов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 м, спортивного - 75 кв. м.</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11. Транспорт и улично-дорожная сеть населенных пунктов</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 Пропускную способность сети улиц, дорог и транспортных пересечений, число мест хранения автомобилей в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100 - 150 единиц для сельских поселений.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 Число автомобилей, прибывающих в муниципальное образование из других поселений системы расселения, и транзитных определяется специальным расчетом.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11.4.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13</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774"/>
        <w:gridCol w:w="6634"/>
      </w:tblGrid>
      <w:tr w:rsidR="00AA422F">
        <w:tc>
          <w:tcPr>
            <w:tcW w:w="27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Категория дорог и улиц</w:t>
            </w:r>
          </w:p>
        </w:tc>
        <w:tc>
          <w:tcPr>
            <w:tcW w:w="66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Основное назначение дорог и улиц</w:t>
            </w:r>
          </w:p>
        </w:tc>
      </w:tr>
      <w:tr w:rsidR="00AA422F">
        <w:tc>
          <w:tcPr>
            <w:tcW w:w="27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66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AA422F">
        <w:tc>
          <w:tcPr>
            <w:tcW w:w="940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outlineLvl w:val="5"/>
              <w:rPr>
                <w:rFonts w:ascii="Times New Roman" w:hAnsi="Times New Roman" w:cs="Times New Roman"/>
                <w:sz w:val="28"/>
                <w:szCs w:val="28"/>
              </w:rPr>
            </w:pPr>
            <w:r>
              <w:rPr>
                <w:rFonts w:ascii="Times New Roman" w:hAnsi="Times New Roman" w:cs="Times New Roman"/>
                <w:sz w:val="28"/>
                <w:szCs w:val="28"/>
              </w:rPr>
              <w:t>Магистральные улицы районного значения</w:t>
            </w:r>
          </w:p>
        </w:tc>
      </w:tr>
      <w:tr w:rsidR="00AA422F">
        <w:tc>
          <w:tcPr>
            <w:tcW w:w="27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Транспортно-пешеходные</w:t>
            </w:r>
          </w:p>
        </w:tc>
        <w:tc>
          <w:tcPr>
            <w:tcW w:w="66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AA422F">
        <w:tc>
          <w:tcPr>
            <w:tcW w:w="27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Пешеходно-транспортные</w:t>
            </w:r>
          </w:p>
        </w:tc>
        <w:tc>
          <w:tcPr>
            <w:tcW w:w="66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пешеходная и транспортная связи (преимущественно общественный пассажирский транспорт) в пределах планировочного района</w:t>
            </w:r>
          </w:p>
        </w:tc>
      </w:tr>
      <w:tr w:rsidR="00AA422F">
        <w:tc>
          <w:tcPr>
            <w:tcW w:w="940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outlineLvl w:val="5"/>
              <w:rPr>
                <w:rFonts w:ascii="Times New Roman" w:hAnsi="Times New Roman" w:cs="Times New Roman"/>
                <w:sz w:val="28"/>
                <w:szCs w:val="28"/>
              </w:rPr>
            </w:pPr>
            <w:r>
              <w:rPr>
                <w:rFonts w:ascii="Times New Roman" w:hAnsi="Times New Roman" w:cs="Times New Roman"/>
                <w:sz w:val="28"/>
                <w:szCs w:val="28"/>
              </w:rPr>
              <w:t>Улицы и дороги местного значения</w:t>
            </w:r>
          </w:p>
        </w:tc>
      </w:tr>
      <w:tr w:rsidR="00AA422F">
        <w:tc>
          <w:tcPr>
            <w:tcW w:w="27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Улицы в жилой застройке</w:t>
            </w:r>
          </w:p>
        </w:tc>
        <w:tc>
          <w:tcPr>
            <w:tcW w:w="66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AA422F">
        <w:tc>
          <w:tcPr>
            <w:tcW w:w="27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Улицы и дороги в научно-производственных, промышленных и коммунально-складских зонах (районах)</w:t>
            </w:r>
          </w:p>
        </w:tc>
        <w:tc>
          <w:tcPr>
            <w:tcW w:w="66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транспортная связь преимущественно легкового и грузового транспорта в пределах зон (районов), выходы на магистральные дороги. Пересечения с улицами и дорогами устраиваются в одном уровне</w:t>
            </w:r>
          </w:p>
        </w:tc>
      </w:tr>
      <w:tr w:rsidR="00AA422F">
        <w:tc>
          <w:tcPr>
            <w:tcW w:w="27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Пешеходные улицы и дороги</w:t>
            </w:r>
          </w:p>
        </w:tc>
        <w:tc>
          <w:tcPr>
            <w:tcW w:w="66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пешеходная связь с местами приложения труда, организациями обслуживания, в том числе в пределах общественных центров, местами отдыха и остановочными пунктами общественного транспорта</w:t>
            </w:r>
          </w:p>
        </w:tc>
      </w:tr>
      <w:tr w:rsidR="00AA422F">
        <w:tc>
          <w:tcPr>
            <w:tcW w:w="27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Проезды</w:t>
            </w:r>
          </w:p>
        </w:tc>
        <w:tc>
          <w:tcPr>
            <w:tcW w:w="66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подъезд транспортных средств к жилым и общественным зданиям, организациями и другим объектам застройки внутри районов, микрорайонов, кварталов</w:t>
            </w:r>
          </w:p>
        </w:tc>
      </w:tr>
      <w:tr w:rsidR="00AA422F">
        <w:tc>
          <w:tcPr>
            <w:tcW w:w="27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Велосипедные дорожки</w:t>
            </w:r>
          </w:p>
        </w:tc>
        <w:tc>
          <w:tcPr>
            <w:tcW w:w="66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муниципального образования сельского поселения.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В зависимости от величины и планировочной структуры муниципального образования, объемов движения указанные основные категории улиц и дорог допускается дополнять или применять их неполный состав. Если расчетные затраты времени на трудовые передвижения превышают установленные настоящими нормами.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автобусно-пешеходного движений.</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11.5. Расчетные параметры улиц и дорог, сельских поселений - </w:t>
      </w:r>
      <w:r>
        <w:rPr>
          <w:rFonts w:ascii="Times New Roman" w:hAnsi="Times New Roman" w:cs="Times New Roman"/>
          <w:color w:val="000000"/>
          <w:sz w:val="28"/>
          <w:szCs w:val="28"/>
        </w:rPr>
        <w:t xml:space="preserve">по </w:t>
      </w:r>
      <w:hyperlink r:id="rId68" w:anchor="Par1228#Par1228" w:tooltip="Таблица 16" w:history="1">
        <w:r>
          <w:rPr>
            <w:rStyle w:val="Hyperlink"/>
            <w:rFonts w:ascii="Times New Roman" w:hAnsi="Times New Roman"/>
            <w:color w:val="000000"/>
            <w:sz w:val="28"/>
            <w:szCs w:val="28"/>
            <w:u w:val="none"/>
          </w:rPr>
          <w:t>таблице</w:t>
        </w:r>
      </w:hyperlink>
      <w:r>
        <w:rPr>
          <w:rFonts w:ascii="Times New Roman" w:hAnsi="Times New Roman" w:cs="Times New Roman"/>
          <w:color w:val="000000"/>
          <w:sz w:val="28"/>
          <w:szCs w:val="28"/>
        </w:rPr>
        <w:t xml:space="preserve"> 14</w:t>
      </w:r>
      <w:r>
        <w:rPr>
          <w:rFonts w:ascii="Times New Roman" w:hAnsi="Times New Roman" w:cs="Times New Roman"/>
          <w:sz w:val="28"/>
          <w:szCs w:val="28"/>
        </w:rPr>
        <w:t>.</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bookmarkStart w:id="20" w:name="Par1071"/>
      <w:bookmarkEnd w:id="20"/>
      <w:r>
        <w:rPr>
          <w:rFonts w:ascii="Times New Roman" w:hAnsi="Times New Roman" w:cs="Times New Roman"/>
          <w:sz w:val="28"/>
          <w:szCs w:val="28"/>
        </w:rPr>
        <w:t>Таблица 14</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bookmarkStart w:id="21" w:name="Par1228"/>
      <w:bookmarkEnd w:id="21"/>
    </w:p>
    <w:tbl>
      <w:tblPr>
        <w:tblW w:w="0" w:type="auto"/>
        <w:tblInd w:w="62" w:type="dxa"/>
        <w:tblLayout w:type="fixed"/>
        <w:tblCellMar>
          <w:top w:w="102" w:type="dxa"/>
          <w:left w:w="62" w:type="dxa"/>
          <w:bottom w:w="102" w:type="dxa"/>
          <w:right w:w="62" w:type="dxa"/>
        </w:tblCellMar>
        <w:tblLook w:val="0000"/>
      </w:tblPr>
      <w:tblGrid>
        <w:gridCol w:w="1819"/>
        <w:gridCol w:w="2395"/>
        <w:gridCol w:w="1234"/>
        <w:gridCol w:w="1339"/>
        <w:gridCol w:w="1334"/>
        <w:gridCol w:w="1354"/>
      </w:tblGrid>
      <w:tr w:rsidR="00AA422F">
        <w:tc>
          <w:tcPr>
            <w:tcW w:w="181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Категория сельских улиц и дорог</w:t>
            </w:r>
          </w:p>
        </w:tc>
        <w:tc>
          <w:tcPr>
            <w:tcW w:w="239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Основное назначение</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Расчетная скорость движения, км/ч</w:t>
            </w: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Ширина полосы движения, м</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Число полос движения</w:t>
            </w:r>
          </w:p>
        </w:tc>
        <w:tc>
          <w:tcPr>
            <w:tcW w:w="13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Ширина пешеходной части тротуара, м</w:t>
            </w:r>
          </w:p>
        </w:tc>
      </w:tr>
      <w:tr w:rsidR="00AA422F">
        <w:tc>
          <w:tcPr>
            <w:tcW w:w="181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239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w:t>
            </w:r>
          </w:p>
        </w:tc>
        <w:tc>
          <w:tcPr>
            <w:tcW w:w="13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r>
      <w:tr w:rsidR="00AA422F">
        <w:tc>
          <w:tcPr>
            <w:tcW w:w="181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Поселковая дорога</w:t>
            </w:r>
          </w:p>
        </w:tc>
        <w:tc>
          <w:tcPr>
            <w:tcW w:w="239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связь сельского поселения с внешними дорогами общей сети</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60</w:t>
            </w: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3,5</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3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r w:rsidR="00AA422F">
        <w:tc>
          <w:tcPr>
            <w:tcW w:w="181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Главная улица</w:t>
            </w:r>
          </w:p>
        </w:tc>
        <w:tc>
          <w:tcPr>
            <w:tcW w:w="239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связь жилых территорий с общественным центром</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40</w:t>
            </w: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3,5</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2 - 3</w:t>
            </w:r>
          </w:p>
        </w:tc>
        <w:tc>
          <w:tcPr>
            <w:tcW w:w="13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1,5 - 2,25</w:t>
            </w:r>
          </w:p>
        </w:tc>
      </w:tr>
      <w:tr w:rsidR="00AA422F">
        <w:tc>
          <w:tcPr>
            <w:tcW w:w="181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Улица в жилой застройке</w:t>
            </w:r>
          </w:p>
        </w:tc>
        <w:tc>
          <w:tcPr>
            <w:tcW w:w="2395"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181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основная</w:t>
            </w:r>
          </w:p>
        </w:tc>
        <w:tc>
          <w:tcPr>
            <w:tcW w:w="239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связь внутри жилых территорий с главной улицей по направлениям с интенсивным движением</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40</w:t>
            </w: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3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1,0 - 1,5</w:t>
            </w:r>
          </w:p>
        </w:tc>
      </w:tr>
      <w:tr w:rsidR="00AA422F">
        <w:tc>
          <w:tcPr>
            <w:tcW w:w="181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второстепенная (переулок)</w:t>
            </w:r>
          </w:p>
        </w:tc>
        <w:tc>
          <w:tcPr>
            <w:tcW w:w="239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связь между основными жилыми улицами</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2,75</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3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r>
      <w:tr w:rsidR="00AA422F">
        <w:tc>
          <w:tcPr>
            <w:tcW w:w="181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проезд</w:t>
            </w:r>
          </w:p>
        </w:tc>
        <w:tc>
          <w:tcPr>
            <w:tcW w:w="239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связь жилых домов, расположенных в глубине квартала, с улицей</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2,75 - 3,0</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3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0 - 1,0</w:t>
            </w:r>
          </w:p>
        </w:tc>
      </w:tr>
      <w:tr w:rsidR="00AA422F">
        <w:tc>
          <w:tcPr>
            <w:tcW w:w="181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Хозяйственный проезд, скотопрогон</w:t>
            </w:r>
          </w:p>
        </w:tc>
        <w:tc>
          <w:tcPr>
            <w:tcW w:w="239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прогон личного скота и проезд грузового транспорта к приусадебным участкам</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4,5</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3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bl>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и дорог в планируемых красных линиях принимается: дорог местного значения - 15 - 25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В местностях с объемом снегоприноса за зиму более 600 куб. м/м в пределах проезжей части улиц и дорог следует предусматривать полосы шириной до 3 м для складирования снега.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В ширину пешеходной части тротуаров и дорожек не включаются площади, необходимые для размещения киосков, скамеек и т.п.</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В местностях с объемом снегоприноса более 200 куб. м/м ширину тротуаров на магистральных улицах следует принимать не менее 3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 При непосредственном примыкании тротуаров к стенам зданий, подпорным стенкам или оградам следует увеличивать их ширину не менее чем на 0,5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 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11.6.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51.13330.2011, не менее 25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11.7.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11.8.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11.9.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11.10. Радиусы закругления проезжей части улиц и дорог по кромке тротуаров и разделительных полос следует принимать не менее: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местного значения - 5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транспортных площадях - 12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11.11.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радиусы закругления устанавливаются в соответствии с техническими требованиями эксплуатации этих видов транспорта.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11.12.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 x 40 м и 10 x 50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11.13.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11.14.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11.15. В местах размещения домов для престарелых и инвалидов, медицинских организаций и других организаций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промилле) короткие рампы, а также продольные уклоны тротуаров и пешеходных дорог более 50 промилле. На путях с уклонами 30 - 60 промилле необходимо не реже чем через 100 м устраивать горизонтальные участки длиной не менее 5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11.16.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- 400 - 600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11.17.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11.18. 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жилых районов - 25%;</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промышленных и коммунально-складских зон (районов) - 25%;</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общерайонных и специализированных центров - 5%;</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зон массового кратковременного отдыха - 15%.</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11.19.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w:t>
      </w:r>
      <w:hyperlink r:id="rId69" w:anchor="Par5010#Par5010" w:tooltip="Приложение И" w:history="1">
        <w:r>
          <w:rPr>
            <w:rStyle w:val="Hyperlink"/>
            <w:rFonts w:ascii="Times New Roman" w:hAnsi="Times New Roman"/>
            <w:color w:val="000000"/>
            <w:sz w:val="28"/>
            <w:szCs w:val="28"/>
            <w:u w:val="none"/>
          </w:rPr>
          <w:t>Приложении И</w:t>
        </w:r>
      </w:hyperlink>
      <w:r>
        <w:rPr>
          <w:rFonts w:ascii="Times New Roman" w:hAnsi="Times New Roman" w:cs="Times New Roman"/>
          <w:color w:val="000000"/>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11.20.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11.21.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мотоциклы и мотороллеры с колясками, мотоколяски - 0,5;</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мотоциклы и мотороллеры без колясок - 0,25;</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мопеды и велосипеды - 0,1.</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11.22.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bookmarkStart w:id="22" w:name="Par1333"/>
      <w:bookmarkEnd w:id="22"/>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11.23. На территории жилых районов и микрорайонов следует предусматривать места для хранения автомобилей в подземных, надземных гаражах-стоянках и открытых площадках из расчета не менее 15% расчетного количества легковых автомобилей на 1 тыс. жителей.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11.24.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и лечебно-профилактических медицинских организаций со стационаром), необходимо предусматривать в соответствии с требованиями СП 54.13330 и СП 118.13330.2012.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11.25.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11.26. Расстояние пешеходных подходов от стоянок для временного хранения легковых автомобилей следует принимать не более: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 входов в жилые дома - 100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 пассажирских помещений вокзалов, входов в места крупных организаций торговли и общественного питания - 150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 прочих организаций и предприятий обслуживания населения и административных зданий - 250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 входов в парки, на выставки и стадионы - 400 м.</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11.27. Нормы расчета стоянок легковых автомобилей допускается принимать в соответствии с Приложением И </w:t>
      </w:r>
      <w:hyperlink r:id="rId70" w:anchor="Par5018#Par5018" w:tooltip="Нормы расчета стоянок автомобилей" w:history="1">
        <w:r>
          <w:rPr>
            <w:rStyle w:val="Hyperlink"/>
            <w:rFonts w:ascii="Times New Roman" w:hAnsi="Times New Roman"/>
            <w:color w:val="000000"/>
            <w:sz w:val="28"/>
            <w:szCs w:val="28"/>
            <w:u w:val="none"/>
          </w:rPr>
          <w:t>(таблица И-1)</w:t>
        </w:r>
      </w:hyperlink>
      <w:r>
        <w:rPr>
          <w:rFonts w:ascii="Times New Roman" w:hAnsi="Times New Roman" w:cs="Times New Roman"/>
          <w:color w:val="000000"/>
          <w:sz w:val="28"/>
          <w:szCs w:val="28"/>
        </w:rPr>
        <w:t>.</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11.28. Расчетные показатели машино-мест для постоянного и временного хранения автомобилей, а также показатели обеспечения местами хранения автомобилей в зависимости от типов жилых домов следует определять в соответствии с Приложением </w:t>
      </w:r>
      <w:r>
        <w:rPr>
          <w:rFonts w:ascii="Times New Roman" w:hAnsi="Times New Roman" w:cs="Times New Roman"/>
          <w:color w:val="000000"/>
          <w:sz w:val="28"/>
          <w:szCs w:val="28"/>
        </w:rPr>
        <w:t>И (</w:t>
      </w:r>
      <w:hyperlink r:id="rId71" w:anchor="Par5117#Par5117" w:tooltip="Нормы расчета машино-мест для постоянного и" w:history="1">
        <w:r>
          <w:rPr>
            <w:rStyle w:val="Hyperlink"/>
            <w:rFonts w:ascii="Times New Roman" w:hAnsi="Times New Roman"/>
            <w:color w:val="000000"/>
            <w:sz w:val="28"/>
            <w:szCs w:val="28"/>
            <w:u w:val="none"/>
          </w:rPr>
          <w:t>таблицы И-2</w:t>
        </w:r>
      </w:hyperlink>
      <w:r>
        <w:rPr>
          <w:rFonts w:ascii="Times New Roman" w:hAnsi="Times New Roman" w:cs="Times New Roman"/>
          <w:color w:val="000000"/>
          <w:sz w:val="28"/>
          <w:szCs w:val="28"/>
        </w:rPr>
        <w:t xml:space="preserve"> и </w:t>
      </w:r>
      <w:hyperlink r:id="rId72" w:anchor="Par5297#Par5297" w:tooltip="Нормативные показатели обеспечения местами хранения" w:history="1">
        <w:r>
          <w:rPr>
            <w:rStyle w:val="Hyperlink"/>
            <w:rFonts w:ascii="Times New Roman" w:hAnsi="Times New Roman"/>
            <w:color w:val="000000"/>
            <w:sz w:val="28"/>
            <w:szCs w:val="28"/>
            <w:u w:val="none"/>
          </w:rPr>
          <w:t>И-4</w:t>
        </w:r>
      </w:hyperlink>
      <w:r>
        <w:rPr>
          <w:rFonts w:ascii="Times New Roman" w:hAnsi="Times New Roman" w:cs="Times New Roman"/>
          <w:color w:val="000000"/>
          <w:sz w:val="28"/>
          <w:szCs w:val="28"/>
        </w:rPr>
        <w:t>).</w:t>
      </w:r>
      <w:r>
        <w:rPr>
          <w:rFonts w:ascii="Times New Roman" w:hAnsi="Times New Roman" w:cs="Times New Roman"/>
          <w:sz w:val="28"/>
          <w:szCs w:val="28"/>
        </w:rPr>
        <w:t xml:space="preserve">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w:t>
      </w:r>
      <w:r>
        <w:rPr>
          <w:rFonts w:ascii="Times New Roman" w:hAnsi="Times New Roman" w:cs="Times New Roman"/>
          <w:color w:val="000000"/>
          <w:sz w:val="28"/>
          <w:szCs w:val="28"/>
        </w:rPr>
        <w:t xml:space="preserve">И </w:t>
      </w:r>
      <w:hyperlink r:id="rId73" w:anchor="Par5272#Par5272" w:tooltip="Нормы расчета площади земельных участков для" w:history="1">
        <w:r>
          <w:rPr>
            <w:rStyle w:val="Hyperlink"/>
            <w:rFonts w:ascii="Times New Roman" w:hAnsi="Times New Roman"/>
            <w:color w:val="000000"/>
            <w:sz w:val="28"/>
            <w:szCs w:val="28"/>
            <w:u w:val="none"/>
          </w:rPr>
          <w:t>(таблица И-3)</w:t>
        </w:r>
      </w:hyperlink>
      <w:r>
        <w:rPr>
          <w:rFonts w:ascii="Times New Roman" w:hAnsi="Times New Roman" w:cs="Times New Roman"/>
          <w:color w:val="000000"/>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11.29.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11.30. Наименьшие расстояния до въездов в гаражи и выездов из них следует принимать: от улиц местного значения - 20 м, от остановочных пунктов общественного пассажирского транспорта - 30 м.</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11.31. Гаражи ведомственных автомобилей и легковых автомобилей специального назначения, грузовых автомобилей, такси и проката,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населенного пункта, принимая размеры их земельных участков согласно </w:t>
      </w:r>
      <w:hyperlink r:id="rId74" w:anchor="Par5558#Par5558" w:tooltip="НОРМЫ" w:history="1">
        <w:r>
          <w:rPr>
            <w:rStyle w:val="Hyperlink"/>
            <w:rFonts w:ascii="Times New Roman" w:hAnsi="Times New Roman"/>
            <w:color w:val="000000"/>
            <w:sz w:val="28"/>
            <w:szCs w:val="28"/>
            <w:u w:val="none"/>
          </w:rPr>
          <w:t>Приложению К</w:t>
        </w:r>
      </w:hyperlink>
      <w:r>
        <w:rPr>
          <w:rFonts w:ascii="Times New Roman" w:hAnsi="Times New Roman" w:cs="Times New Roman"/>
          <w:color w:val="000000"/>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11.32.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СП 113.13330.2012.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11.33. Санитарные разрывы от мест хранения и обслуживания легкового автотранспорта до объектов застройки следует принимать с учетом требований </w:t>
      </w:r>
      <w:hyperlink r:id="rId75"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-03</w:t>
      </w:r>
      <w:r>
        <w:rPr>
          <w:rFonts w:ascii="Times New Roman" w:hAnsi="Times New Roman" w:cs="Times New Roman"/>
          <w:sz w:val="28"/>
          <w:szCs w:val="28"/>
        </w:rPr>
        <w:t xml:space="preserve"> в соответствии с таблицей 15.</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bookmarkStart w:id="23" w:name="Par1351"/>
      <w:bookmarkEnd w:id="23"/>
      <w:r>
        <w:rPr>
          <w:rFonts w:ascii="Times New Roman" w:hAnsi="Times New Roman" w:cs="Times New Roman"/>
          <w:sz w:val="28"/>
          <w:szCs w:val="28"/>
        </w:rPr>
        <w:t>Таблица 15</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717"/>
        <w:gridCol w:w="1334"/>
        <w:gridCol w:w="1334"/>
        <w:gridCol w:w="1339"/>
        <w:gridCol w:w="1334"/>
        <w:gridCol w:w="1344"/>
      </w:tblGrid>
      <w:tr w:rsidR="00AA422F">
        <w:tc>
          <w:tcPr>
            <w:tcW w:w="2717"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Объекты, до которых исчисляется санитарный разрыв</w:t>
            </w:r>
          </w:p>
        </w:tc>
        <w:tc>
          <w:tcPr>
            <w:tcW w:w="6685" w:type="dxa"/>
            <w:gridSpan w:val="5"/>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Расстояние, м</w:t>
            </w:r>
          </w:p>
        </w:tc>
      </w:tr>
      <w:tr w:rsidR="00AA422F">
        <w:tc>
          <w:tcPr>
            <w:tcW w:w="2717"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6685" w:type="dxa"/>
            <w:gridSpan w:val="5"/>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открытые автостоянки и паркинги вместимостью, машино-мест</w:t>
            </w:r>
          </w:p>
        </w:tc>
      </w:tr>
      <w:tr w:rsidR="00AA422F">
        <w:tc>
          <w:tcPr>
            <w:tcW w:w="2717"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 и менее</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11 - 50</w:t>
            </w: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51 - 100</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101 - 300</w:t>
            </w:r>
          </w:p>
        </w:tc>
        <w:tc>
          <w:tcPr>
            <w:tcW w:w="134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свыше 300</w:t>
            </w:r>
          </w:p>
        </w:tc>
      </w:tr>
      <w:tr w:rsidR="00AA422F">
        <w:tc>
          <w:tcPr>
            <w:tcW w:w="271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Фасады жилых домов и торцы с окнами</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35</w:t>
            </w:r>
          </w:p>
        </w:tc>
        <w:tc>
          <w:tcPr>
            <w:tcW w:w="134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r>
      <w:tr w:rsidR="00AA422F">
        <w:tc>
          <w:tcPr>
            <w:tcW w:w="271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Торцы жилых домов без окон</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134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35</w:t>
            </w:r>
          </w:p>
        </w:tc>
      </w:tr>
      <w:tr w:rsidR="00AA422F">
        <w:tc>
          <w:tcPr>
            <w:tcW w:w="271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Территории дошкольных образовательных и общеобразовательных организаций, ПТУ, площадок для отдыха, игр и спорта</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134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r>
      <w:tr w:rsidR="00AA422F">
        <w:tc>
          <w:tcPr>
            <w:tcW w:w="271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Территории лечебно-профилактических медицинских организаций, открытые спортивные сооружения общего пользования, места отдыха населения (сады, скверы, парки)</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13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по расчетам</w:t>
            </w:r>
          </w:p>
        </w:tc>
        <w:tc>
          <w:tcPr>
            <w:tcW w:w="1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по расчетам</w:t>
            </w:r>
          </w:p>
        </w:tc>
        <w:tc>
          <w:tcPr>
            <w:tcW w:w="134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по расчетам</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Для подземных, полуподземных и обвалованных гаражей-стоянок регламентируется лишь расстояние от въезда - выезда и от вентиляционных шахт до территории дошкольных образовательных и общеобразовательных организаций , лечебно-профилактических организаций, жилых домов, площадок отдыха и др., которое должно составлять не менее 15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Разрыв от проездов автотранспорта из гаражей-стоянок, паркингов, автостоянок до нормируемых объектов должен быть не менее 7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Вентиляционные выбросы из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 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 - выездов, проездов, при условии озеленения эксплуатируемой кровли и обеспечении предельно допустимой концентрации в устье выброса в атмосферу.</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 Разрыв от территорий подземных гаражей-стоянок не лимитируется.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 Требования, отнесенные к подземным гаражам, распространяются на размещение обвалованных гаражей-стоянок.</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 Для гостевых автостоянок жилых домов разрывы не устанавливаются.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12. Разрывы, приведенные в</w:t>
      </w:r>
      <w:r>
        <w:rPr>
          <w:rFonts w:ascii="Times New Roman" w:hAnsi="Times New Roman" w:cs="Times New Roman"/>
          <w:color w:val="000000"/>
          <w:sz w:val="28"/>
          <w:szCs w:val="28"/>
        </w:rPr>
        <w:t xml:space="preserve"> таблице 16,</w:t>
      </w:r>
      <w:r>
        <w:rPr>
          <w:rFonts w:ascii="Times New Roman" w:hAnsi="Times New Roman" w:cs="Times New Roman"/>
          <w:sz w:val="28"/>
          <w:szCs w:val="28"/>
        </w:rPr>
        <w:t xml:space="preserve"> могут приниматься с учетом интерполяции.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 Санитарный разрыв от станций технического обслуживания (осмотра) при числе постов до 5 (без малярно-жестяных работ) - 50 м, от 5 до 10 - 100 м. Санитарный разрыв от моек автомобилей при количестве постов до 2 - 50 м, от 2 до 5 - 100 м.</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11.34. Противопожарные расстояния от мест хранения и обслуживания легкового автотранспорта до объектов застройки следует принимать с учетом требований </w:t>
      </w:r>
      <w:r>
        <w:rPr>
          <w:rFonts w:ascii="Times New Roman" w:hAnsi="Times New Roman" w:cs="Times New Roman"/>
          <w:color w:val="000000"/>
          <w:sz w:val="28"/>
          <w:szCs w:val="28"/>
        </w:rPr>
        <w:t xml:space="preserve">Федерального </w:t>
      </w:r>
      <w:hyperlink r:id="rId76" w:tooltip="Федеральный закон от 22.07.2008 N 123-ФЗ (ред. от 03.07.2016) &quot;Технический регламент о требованиях пожарной безопасности&quot;{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sz w:val="28"/>
          <w:szCs w:val="28"/>
        </w:rPr>
        <w:t xml:space="preserve"> от 22.07.2008 № 123-ФЗ «Технический регламент о требованиях пожарной безопасности» и в соответствии с таблицей 16.</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16</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859"/>
        <w:gridCol w:w="926"/>
        <w:gridCol w:w="922"/>
        <w:gridCol w:w="931"/>
        <w:gridCol w:w="778"/>
        <w:gridCol w:w="922"/>
        <w:gridCol w:w="1061"/>
      </w:tblGrid>
      <w:tr w:rsidR="00AA422F">
        <w:tc>
          <w:tcPr>
            <w:tcW w:w="3859"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Здания, до которых определяются противопожарные расстояния</w:t>
            </w:r>
          </w:p>
        </w:tc>
        <w:tc>
          <w:tcPr>
            <w:tcW w:w="5540" w:type="dxa"/>
            <w:gridSpan w:val="6"/>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Противопожарные расстояния до соседних зданий, м</w:t>
            </w:r>
          </w:p>
        </w:tc>
      </w:tr>
      <w:tr w:rsidR="00AA422F">
        <w:tc>
          <w:tcPr>
            <w:tcW w:w="3859"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3557" w:type="dxa"/>
            <w:gridSpan w:val="4"/>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от коллективных гаражей и организованных открытых автостоянок при числе легковых автомобилей</w:t>
            </w:r>
          </w:p>
        </w:tc>
        <w:tc>
          <w:tcPr>
            <w:tcW w:w="1983"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от станций технического обслуживания автомобилей при числе постов</w:t>
            </w:r>
          </w:p>
        </w:tc>
      </w:tr>
      <w:tr w:rsidR="00AA422F">
        <w:tc>
          <w:tcPr>
            <w:tcW w:w="3859"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9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 и менее</w:t>
            </w:r>
          </w:p>
        </w:tc>
        <w:tc>
          <w:tcPr>
            <w:tcW w:w="92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11 - 50</w:t>
            </w:r>
          </w:p>
        </w:tc>
        <w:tc>
          <w:tcPr>
            <w:tcW w:w="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51 - 100</w:t>
            </w:r>
          </w:p>
        </w:tc>
        <w:tc>
          <w:tcPr>
            <w:tcW w:w="77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101 300</w:t>
            </w:r>
          </w:p>
        </w:tc>
        <w:tc>
          <w:tcPr>
            <w:tcW w:w="92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 и менее</w:t>
            </w:r>
          </w:p>
        </w:tc>
        <w:tc>
          <w:tcPr>
            <w:tcW w:w="106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11 - 30</w:t>
            </w:r>
          </w:p>
        </w:tc>
      </w:tr>
      <w:tr w:rsidR="00AA422F">
        <w:tc>
          <w:tcPr>
            <w:tcW w:w="38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Общественные здания</w:t>
            </w:r>
          </w:p>
        </w:tc>
        <w:tc>
          <w:tcPr>
            <w:tcW w:w="9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10(12)</w:t>
            </w:r>
          </w:p>
        </w:tc>
        <w:tc>
          <w:tcPr>
            <w:tcW w:w="92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10(12)</w:t>
            </w:r>
          </w:p>
        </w:tc>
        <w:tc>
          <w:tcPr>
            <w:tcW w:w="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77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92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106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r>
      <w:tr w:rsidR="00AA422F">
        <w:tc>
          <w:tcPr>
            <w:tcW w:w="38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Границы земельных участков дошкольных образовательных и общеобразовательных организаций </w:t>
            </w:r>
          </w:p>
        </w:tc>
        <w:tc>
          <w:tcPr>
            <w:tcW w:w="9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92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77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92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106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r>
      <w:tr w:rsidR="00AA422F">
        <w:tc>
          <w:tcPr>
            <w:tcW w:w="38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Границы земельных участков лечебно-профилактических медицинских организаций</w:t>
            </w:r>
          </w:p>
        </w:tc>
        <w:tc>
          <w:tcPr>
            <w:tcW w:w="92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92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93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77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92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106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В скобках указаны значения для гаражей III и IV степеней огнестойкости.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IV. Расчетные показатели объектов инженерной инфраструктуры</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12. Водоснабжение и водоотведение</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муниципальных образований в соответствии с Федеральным </w:t>
      </w:r>
      <w:hyperlink r:id="rId77" w:tooltip="Федеральный закон от 30.12.2004 N 210-ФЗ (ред. от 29.12.2014) &quot;Об основах регулирования тарифов организаций коммунального комплекса&quot;{КонсультантПлюс}" w:history="1">
        <w:r>
          <w:rPr>
            <w:rStyle w:val="Hyperlink"/>
            <w:rFonts w:ascii="Times New Roman" w:hAnsi="Times New Roman"/>
            <w:color w:val="000000"/>
            <w:sz w:val="28"/>
            <w:szCs w:val="28"/>
            <w:u w:val="none"/>
          </w:rPr>
          <w:t>законом</w:t>
        </w:r>
      </w:hyperlink>
      <w:r>
        <w:rPr>
          <w:rFonts w:ascii="Times New Roman" w:hAnsi="Times New Roman" w:cs="Times New Roman"/>
          <w:color w:val="000000"/>
          <w:sz w:val="28"/>
          <w:szCs w:val="28"/>
        </w:rPr>
        <w:t xml:space="preserve"> о</w:t>
      </w:r>
      <w:r>
        <w:rPr>
          <w:rFonts w:ascii="Times New Roman" w:hAnsi="Times New Roman" w:cs="Times New Roman"/>
          <w:sz w:val="28"/>
          <w:szCs w:val="28"/>
        </w:rPr>
        <w:t>т 30.12.2004 № 210-ФЗ «Об основах регулирования тарифов организаций коммунального комплекса».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31.13330.2012, СП 32.13330.2012 с учетом санитарно-гигиенической надежности получения питьевой воды, экологических и ресурсосберегающих требований.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12.4. Выбор источников хозяйственно-питьевого водоснабжения необходимо осуществлять в соответствии с </w:t>
      </w:r>
      <w:r>
        <w:rPr>
          <w:rFonts w:ascii="Times New Roman" w:hAnsi="Times New Roman" w:cs="Times New Roman"/>
          <w:color w:val="000000"/>
          <w:sz w:val="28"/>
          <w:szCs w:val="28"/>
        </w:rPr>
        <w:t xml:space="preserve">требованиями </w:t>
      </w:r>
      <w:hyperlink r:id="rId78" w:tooltip="Постановление Главного государственного санитарного врача РФ от 14.03.2002 N 10 &quot;О введении в действие Санитарных правил и норм &quot;Зоны санитарной охраны источников водоснабжения и водопроводов питьевого назначения. СанПиН 2.1.4.1110-02&quot; (с изм. от 25.09.20" w:history="1">
        <w:r>
          <w:rPr>
            <w:rStyle w:val="Hyperlink"/>
            <w:rFonts w:ascii="Times New Roman" w:hAnsi="Times New Roman"/>
            <w:color w:val="000000"/>
            <w:sz w:val="28"/>
            <w:szCs w:val="28"/>
            <w:u w:val="none"/>
          </w:rPr>
          <w:t>СанПиН 2.1.4.1110</w:t>
        </w:r>
      </w:hyperlink>
      <w:r>
        <w:rPr>
          <w:rFonts w:ascii="Times New Roman" w:hAnsi="Times New Roman" w:cs="Times New Roman"/>
          <w:color w:val="000000"/>
          <w:sz w:val="28"/>
          <w:szCs w:val="28"/>
        </w:rPr>
        <w:t>-02,</w:t>
      </w:r>
      <w:r>
        <w:rPr>
          <w:rFonts w:ascii="Times New Roman" w:hAnsi="Times New Roman" w:cs="Times New Roman"/>
          <w:sz w:val="28"/>
          <w:szCs w:val="28"/>
        </w:rPr>
        <w:t xml:space="preserve"> ГОСТ 2761-84, а также с учетом норм радиационной безопасности.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12.5.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32.13330.2012, </w:t>
      </w:r>
      <w:hyperlink r:id="rId79"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-03.</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13. Дождевая канализация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13.1. Проектирование дождевой канализации следует осуществлять на основании действующих нормативных документов</w:t>
      </w:r>
      <w:r>
        <w:rPr>
          <w:rFonts w:ascii="Times New Roman" w:hAnsi="Times New Roman" w:cs="Times New Roman"/>
          <w:color w:val="000000"/>
          <w:sz w:val="28"/>
          <w:szCs w:val="28"/>
        </w:rPr>
        <w:t xml:space="preserve">: </w:t>
      </w:r>
      <w:hyperlink r:id="rId80"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 w:history="1">
        <w:r>
          <w:rPr>
            <w:rStyle w:val="Hyperlink"/>
            <w:rFonts w:ascii="Times New Roman" w:hAnsi="Times New Roman"/>
            <w:color w:val="000000"/>
            <w:sz w:val="28"/>
            <w:szCs w:val="28"/>
            <w:u w:val="none"/>
          </w:rPr>
          <w:t>СанПиН 2.1.5.980</w:t>
        </w:r>
      </w:hyperlink>
      <w:r>
        <w:rPr>
          <w:rFonts w:ascii="Times New Roman" w:hAnsi="Times New Roman" w:cs="Times New Roman"/>
          <w:color w:val="000000"/>
          <w:sz w:val="28"/>
          <w:szCs w:val="28"/>
        </w:rPr>
        <w:t xml:space="preserve">-00, СП 32.13330.2012, Водного </w:t>
      </w:r>
      <w:hyperlink r:id="rId81" w:tooltip="&quot;Водный кодекс Российской Федерации&quot; от 03.06.2006 N 74-ФЗ (ред. от 31.10.2016){КонсультантПлюс}" w:history="1">
        <w:r>
          <w:rPr>
            <w:rStyle w:val="Hyperlink"/>
            <w:rFonts w:ascii="Times New Roman" w:hAnsi="Times New Roman"/>
            <w:color w:val="000000"/>
            <w:sz w:val="28"/>
            <w:szCs w:val="28"/>
            <w:u w:val="none"/>
          </w:rPr>
          <w:t>кодекса</w:t>
        </w:r>
      </w:hyperlink>
      <w:r>
        <w:rPr>
          <w:rFonts w:ascii="Times New Roman" w:hAnsi="Times New Roman" w:cs="Times New Roman"/>
          <w:color w:val="000000"/>
          <w:sz w:val="28"/>
          <w:szCs w:val="28"/>
        </w:rPr>
        <w:t xml:space="preserve"> Российской Федерации.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w:t>
      </w:r>
      <w:hyperlink r:id="rId82"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 w:history="1">
        <w:r>
          <w:rPr>
            <w:rStyle w:val="Hyperlink"/>
            <w:rFonts w:ascii="Times New Roman" w:hAnsi="Times New Roman"/>
            <w:color w:val="000000"/>
            <w:sz w:val="28"/>
            <w:szCs w:val="28"/>
            <w:u w:val="none"/>
          </w:rPr>
          <w:t>СанПиН 2.1.5.980</w:t>
        </w:r>
      </w:hyperlink>
      <w:r>
        <w:rPr>
          <w:rFonts w:ascii="Times New Roman" w:hAnsi="Times New Roman" w:cs="Times New Roman"/>
          <w:color w:val="000000"/>
          <w:sz w:val="28"/>
          <w:szCs w:val="28"/>
        </w:rPr>
        <w:t>-00.</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13.3. В водоемы, предназначенные для купания, возможен сброс поверхностных сточных вод при условии их глубокой очистки.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13.5. На территории муниципального образования следует, как правило, применять открытые водоотводящие устройства,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13.7. Расчет водосточной сети следует производить на дождевой сток по СП 32.13330.2012.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13.8. Очистку поверхностных вод с территории населенных пунктов следует осуществлять на локальных или групповых очистных сооружениях различного типа. Расчетный расход дождевого стока, направляемого на очистку, следует определять при периоде однократного превышения интенсивности предельного дождя (0,05 - 0,1) года.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13.9.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13.10. К отведению поверхностного стока с промышленных и жилых территорий в водные объекты предъявляются такие же требования, как и к сточным водам </w:t>
      </w:r>
      <w:hyperlink r:id="rId83"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 w:history="1">
        <w:r>
          <w:rPr>
            <w:rStyle w:val="Hyperlink"/>
            <w:rFonts w:ascii="Times New Roman" w:hAnsi="Times New Roman"/>
            <w:color w:val="000000"/>
            <w:sz w:val="28"/>
            <w:szCs w:val="28"/>
            <w:u w:val="none"/>
          </w:rPr>
          <w:t>(СанПиН 2.1.5.980-00)</w:t>
        </w:r>
      </w:hyperlink>
      <w:r>
        <w:rPr>
          <w:rFonts w:ascii="Times New Roman" w:hAnsi="Times New Roman" w:cs="Times New Roman"/>
          <w:color w:val="000000"/>
          <w:sz w:val="28"/>
          <w:szCs w:val="28"/>
        </w:rPr>
        <w:t xml:space="preserve">. </w:t>
      </w:r>
      <w:r>
        <w:rPr>
          <w:rFonts w:ascii="Times New Roman" w:hAnsi="Times New Roman" w:cs="Times New Roman"/>
          <w:sz w:val="28"/>
          <w:szCs w:val="28"/>
        </w:rPr>
        <w:t>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13.11. Качество очистки поверхностных сточных вод, сбрасываемых в водные объекты, должно отвечать требованиям </w:t>
      </w:r>
      <w:hyperlink r:id="rId84"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 w:history="1">
        <w:r>
          <w:rPr>
            <w:rStyle w:val="Hyperlink"/>
            <w:rFonts w:ascii="Times New Roman" w:hAnsi="Times New Roman"/>
            <w:color w:val="000000"/>
            <w:sz w:val="28"/>
            <w:szCs w:val="28"/>
            <w:u w:val="none"/>
          </w:rPr>
          <w:t>СанПиН 2.1.5.980</w:t>
        </w:r>
      </w:hyperlink>
      <w:r>
        <w:rPr>
          <w:rFonts w:ascii="Times New Roman" w:hAnsi="Times New Roman" w:cs="Times New Roman"/>
          <w:color w:val="000000"/>
          <w:sz w:val="28"/>
          <w:szCs w:val="28"/>
        </w:rPr>
        <w:t xml:space="preserve">-00, Водного </w:t>
      </w:r>
      <w:hyperlink r:id="rId85" w:tooltip="&quot;Водный кодекс Российской Федерации&quot; от 03.06.2006 N 74-ФЗ (ред. от 31.10.2016){КонсультантПлюс}" w:history="1">
        <w:r>
          <w:rPr>
            <w:rStyle w:val="Hyperlink"/>
            <w:rFonts w:ascii="Times New Roman" w:hAnsi="Times New Roman"/>
            <w:color w:val="000000"/>
            <w:sz w:val="28"/>
            <w:szCs w:val="28"/>
            <w:u w:val="none"/>
          </w:rPr>
          <w:t>кодекса</w:t>
        </w:r>
      </w:hyperlink>
      <w:r>
        <w:rPr>
          <w:rFonts w:ascii="Times New Roman" w:hAnsi="Times New Roman" w:cs="Times New Roman"/>
          <w:color w:val="000000"/>
          <w:sz w:val="28"/>
          <w:szCs w:val="28"/>
        </w:rPr>
        <w:t xml:space="preserve"> </w:t>
      </w:r>
      <w:r>
        <w:rPr>
          <w:rFonts w:ascii="Times New Roman" w:hAnsi="Times New Roman" w:cs="Times New Roman"/>
          <w:sz w:val="28"/>
          <w:szCs w:val="28"/>
        </w:rPr>
        <w:t>Российской Федерации и категории водопользования водоема.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13.12. Санитарно-защитную зону (СЗЗ) от очистных сооружений поверхностного стока открытого типа до жилой территории следует принимать 100 м, закрытого типа - 50 м.</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14. Санитарная очистка</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14.1. Санитарная очистка территории муниципального образования должна осуществляться с учетом требований </w:t>
      </w:r>
      <w:hyperlink r:id="rId86" w:tooltip="&quot;СанПиН 42-128-4690-88. Санитарные правила содержания территорий населенных мест&quot; (утв. Главным государственным санитарным врачом СССР 05.08.1988 N 4690-88){КонсультантПлюс}" w:history="1">
        <w:r>
          <w:rPr>
            <w:rStyle w:val="Hyperlink"/>
            <w:rFonts w:ascii="Times New Roman" w:hAnsi="Times New Roman"/>
            <w:color w:val="000000"/>
            <w:sz w:val="28"/>
            <w:szCs w:val="28"/>
            <w:u w:val="none"/>
          </w:rPr>
          <w:t>СанПиН 42-128-4690</w:t>
        </w:r>
      </w:hyperlink>
      <w:r>
        <w:rPr>
          <w:rFonts w:ascii="Times New Roman" w:hAnsi="Times New Roman" w:cs="Times New Roman"/>
          <w:color w:val="000000"/>
          <w:sz w:val="28"/>
          <w:szCs w:val="28"/>
        </w:rPr>
        <w:t>-88</w:t>
      </w:r>
      <w:r>
        <w:rPr>
          <w:rFonts w:ascii="Times New Roman" w:hAnsi="Times New Roman" w:cs="Times New Roman"/>
          <w:sz w:val="28"/>
          <w:szCs w:val="28"/>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14.2. Количество бытовых отходов определяется по расчету с учетом </w:t>
      </w:r>
      <w:hyperlink r:id="rId87" w:anchor="Par5641#Par5641" w:tooltip="НОРМЫ" w:history="1">
        <w:r>
          <w:rPr>
            <w:rStyle w:val="Hyperlink"/>
            <w:rFonts w:ascii="Times New Roman" w:hAnsi="Times New Roman"/>
            <w:color w:val="000000"/>
            <w:sz w:val="28"/>
            <w:szCs w:val="28"/>
            <w:u w:val="none"/>
          </w:rPr>
          <w:t>Приложения Л</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к настоящим нормативам.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17.</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17</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762"/>
        <w:gridCol w:w="2232"/>
        <w:gridCol w:w="2551"/>
      </w:tblGrid>
      <w:tr w:rsidR="00AA422F">
        <w:tc>
          <w:tcPr>
            <w:tcW w:w="4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Предприятия и сооружения</w:t>
            </w:r>
          </w:p>
        </w:tc>
        <w:tc>
          <w:tcPr>
            <w:tcW w:w="223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Площади земельных участков на 1000 т бытовых отходов, га</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Размеры санитарно-защитных зон, м</w:t>
            </w:r>
          </w:p>
        </w:tc>
      </w:tr>
      <w:tr w:rsidR="00AA422F">
        <w:tc>
          <w:tcPr>
            <w:tcW w:w="4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223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AA422F">
        <w:tc>
          <w:tcPr>
            <w:tcW w:w="4762"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Мусороперерабатывающие и мусоросжигательные предприятия мощностью, тыс. т в год</w:t>
            </w:r>
          </w:p>
        </w:tc>
        <w:tc>
          <w:tcPr>
            <w:tcW w:w="223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4762"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223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4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до 100</w:t>
            </w:r>
          </w:p>
        </w:tc>
        <w:tc>
          <w:tcPr>
            <w:tcW w:w="223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0,05</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r>
      <w:tr w:rsidR="00AA422F">
        <w:tc>
          <w:tcPr>
            <w:tcW w:w="4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свыше 100</w:t>
            </w:r>
          </w:p>
        </w:tc>
        <w:tc>
          <w:tcPr>
            <w:tcW w:w="223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0,05</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r>
      <w:tr w:rsidR="00AA422F">
        <w:tc>
          <w:tcPr>
            <w:tcW w:w="4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Склады компоста</w:t>
            </w:r>
          </w:p>
        </w:tc>
        <w:tc>
          <w:tcPr>
            <w:tcW w:w="223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0,04</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r>
      <w:tr w:rsidR="00AA422F">
        <w:tc>
          <w:tcPr>
            <w:tcW w:w="4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Полигоны</w:t>
            </w:r>
          </w:p>
        </w:tc>
        <w:tc>
          <w:tcPr>
            <w:tcW w:w="223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0,02 - 0,05</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r>
      <w:tr w:rsidR="00AA422F">
        <w:tc>
          <w:tcPr>
            <w:tcW w:w="4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Поля компостирования</w:t>
            </w:r>
          </w:p>
        </w:tc>
        <w:tc>
          <w:tcPr>
            <w:tcW w:w="223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0,5 - 1</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r>
      <w:tr w:rsidR="00AA422F">
        <w:tc>
          <w:tcPr>
            <w:tcW w:w="4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Мусороперегрузочные станции</w:t>
            </w:r>
          </w:p>
        </w:tc>
        <w:tc>
          <w:tcPr>
            <w:tcW w:w="223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0,04</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r>
      <w:tr w:rsidR="00AA422F">
        <w:tc>
          <w:tcPr>
            <w:tcW w:w="4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Сливные станции</w:t>
            </w:r>
          </w:p>
        </w:tc>
        <w:tc>
          <w:tcPr>
            <w:tcW w:w="223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0,02</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r>
      <w:tr w:rsidR="00AA422F">
        <w:tc>
          <w:tcPr>
            <w:tcW w:w="47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Поля складирования и захоронения обезвреженных осадков (по сухому веществу)</w:t>
            </w:r>
          </w:p>
        </w:tc>
        <w:tc>
          <w:tcPr>
            <w:tcW w:w="223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0,3</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1000</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Наименьшие размеры площадей полигонов относятся к сооружениям, размещаемым на песчаных грунтах.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15. Энерго-, тепло-, газоснабжение и средства связи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 Расход энергоносителей и потребность в мощности источников следует определять:</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15.2. Укрупненные показатели электропотребления допускается принимать в соответствии с </w:t>
      </w:r>
      <w:hyperlink r:id="rId88" w:anchor="Par5683#Par5683" w:tooltip="УКРУПНЕННЫЕ ПОКАЗАТЕЛИ ЭЛЕКТРОПОТРЕБЛЕНИЯ" w:history="1">
        <w:r>
          <w:rPr>
            <w:rStyle w:val="Hyperlink"/>
            <w:rFonts w:ascii="Times New Roman" w:hAnsi="Times New Roman"/>
            <w:color w:val="000000"/>
            <w:sz w:val="28"/>
            <w:szCs w:val="28"/>
            <w:u w:val="none"/>
          </w:rPr>
          <w:t>Приложением М</w:t>
        </w:r>
      </w:hyperlink>
      <w:r>
        <w:rPr>
          <w:rFonts w:ascii="Times New Roman" w:hAnsi="Times New Roman" w:cs="Times New Roman"/>
          <w:color w:val="000000"/>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15.4. Электроснабжение муниципального образования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15.5. Воздушные линии электропередачи (далее - ВЛ) напряжением 110 кВ и выше допускается размещать только за пределами жилых и общественно-деловых зон. 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15.7. Во всех территориальных зонах муниципального образования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15.8. При размещении отдельно стоящих распределительных пунктов и трансформаторных подстанций напряжением 10(6) - 20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медицинских организаций- не менее 15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15.9. Теплоснабжение муниципальных образований следует предусматривать в соответствии с утвержденной в установленном порядке схемой теплоснабжения.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18.</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18</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979"/>
        <w:gridCol w:w="5409"/>
      </w:tblGrid>
      <w:tr w:rsidR="00AA422F">
        <w:tc>
          <w:tcPr>
            <w:tcW w:w="3979"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Теплопроизводительность котельных, Гкал/ч (МВт)</w:t>
            </w:r>
          </w:p>
        </w:tc>
        <w:tc>
          <w:tcPr>
            <w:tcW w:w="540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Размеры земельных участков котельных, га, работающих</w:t>
            </w:r>
          </w:p>
        </w:tc>
      </w:tr>
      <w:tr w:rsidR="00AA422F">
        <w:tc>
          <w:tcPr>
            <w:tcW w:w="3979"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0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на твердом топливе</w:t>
            </w:r>
          </w:p>
        </w:tc>
      </w:tr>
      <w:tr w:rsidR="00AA422F">
        <w:tc>
          <w:tcPr>
            <w:tcW w:w="397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540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AA422F">
        <w:tc>
          <w:tcPr>
            <w:tcW w:w="397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до 5</w:t>
            </w:r>
          </w:p>
        </w:tc>
        <w:tc>
          <w:tcPr>
            <w:tcW w:w="540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0,7</w:t>
            </w:r>
          </w:p>
        </w:tc>
      </w:tr>
      <w:tr w:rsidR="00AA422F">
        <w:tc>
          <w:tcPr>
            <w:tcW w:w="397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от 5 до 10 (от 6 до 12)</w:t>
            </w:r>
          </w:p>
        </w:tc>
        <w:tc>
          <w:tcPr>
            <w:tcW w:w="540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Размеры санитарно-защитных зон от котельных определяются в соответствии с действующими санитарными нормами.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15.13. Газораспределительные станции магистральных газопроводов следует размещать за пределами поселений в соответствии с требованиями СП 36.13330.2012.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15.14.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 тыс. т/год - 6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 тыс. т/год - 7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40 тыс. т/год - 8 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15.15.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62.13330.2011.</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15.16.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15.17.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16. Размещение инженерных сетей</w:t>
      </w:r>
    </w:p>
    <w:p w:rsidR="00AA422F" w:rsidRDefault="00AA422F" w:rsidP="00434EF1">
      <w:pPr>
        <w:pStyle w:val="ConsPlusNormal"/>
        <w:jc w:val="both"/>
        <w:rPr>
          <w:rFonts w:ascii="Times New Roman" w:hAnsi="Times New Roman" w:cs="Times New Roman"/>
          <w:b/>
          <w:bCs/>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16.3. В зонах реконструкции, или при недостаточной ширине улиц устройство тоннелей (коллекторов) допускается при диаметре тепловых сетей от 200 мм.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16.4.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 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16.5. Расстояния по горизонтали (в свету) от ближайших подземных инженерных сетей до зданий и сооружений следует принимать по таблице 19. Минимальные расстояния от подземных (наземных с обвалованием) газопроводов до зданий и сооружений следует принимать в соответствии с СП 62.13330.2011.</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bookmarkStart w:id="24" w:name="Par1663"/>
      <w:bookmarkEnd w:id="24"/>
      <w:r>
        <w:rPr>
          <w:rFonts w:ascii="Times New Roman" w:hAnsi="Times New Roman" w:cs="Times New Roman"/>
          <w:sz w:val="28"/>
          <w:szCs w:val="28"/>
        </w:rPr>
        <w:t>Таблица 19</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1843"/>
        <w:gridCol w:w="1559"/>
        <w:gridCol w:w="1560"/>
        <w:gridCol w:w="1301"/>
        <w:gridCol w:w="912"/>
        <w:gridCol w:w="869"/>
        <w:gridCol w:w="737"/>
        <w:gridCol w:w="794"/>
      </w:tblGrid>
      <w:tr w:rsidR="00AA422F">
        <w:tc>
          <w:tcPr>
            <w:tcW w:w="1843"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Инженерные сети</w:t>
            </w:r>
          </w:p>
        </w:tc>
        <w:tc>
          <w:tcPr>
            <w:tcW w:w="7732" w:type="dxa"/>
            <w:gridSpan w:val="7"/>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Расстояние, м, по горизонтали (в свету) от подземных сетей до</w:t>
            </w:r>
          </w:p>
        </w:tc>
      </w:tr>
      <w:tr w:rsidR="00AA422F">
        <w:trPr>
          <w:trHeight w:val="1288"/>
        </w:trPr>
        <w:tc>
          <w:tcPr>
            <w:tcW w:w="1843"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559"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фундаментов зданий и сооружений</w:t>
            </w:r>
          </w:p>
        </w:tc>
        <w:tc>
          <w:tcPr>
            <w:tcW w:w="1560"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фундаментов ограждений предприятий, эстакад, опор контактной сети и связи</w:t>
            </w:r>
          </w:p>
        </w:tc>
        <w:tc>
          <w:tcPr>
            <w:tcW w:w="1301"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бортового камня улицы, дороги (кромки проезжей части, укрепленной полосы обочины)</w:t>
            </w:r>
          </w:p>
        </w:tc>
        <w:tc>
          <w:tcPr>
            <w:tcW w:w="912"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наружной бровки кювета или подошвы насыпи дороги</w:t>
            </w:r>
          </w:p>
        </w:tc>
        <w:tc>
          <w:tcPr>
            <w:tcW w:w="2400"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фундаментов опор воздушных линий электропередачи напряжением</w:t>
            </w:r>
          </w:p>
        </w:tc>
      </w:tr>
      <w:tr w:rsidR="00AA422F">
        <w:tc>
          <w:tcPr>
            <w:tcW w:w="1843"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301"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912"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8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до 1 кВ наружного освещения</w:t>
            </w:r>
          </w:p>
        </w:tc>
        <w:tc>
          <w:tcPr>
            <w:tcW w:w="73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свыше 1 до 35 кВ</w:t>
            </w:r>
          </w:p>
        </w:tc>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свыше 35 до 110 кВ и выше</w:t>
            </w:r>
          </w:p>
        </w:tc>
      </w:tr>
      <w:tr w:rsidR="00AA422F">
        <w:tc>
          <w:tcPr>
            <w:tcW w:w="18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c>
          <w:tcPr>
            <w:tcW w:w="130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9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7</w:t>
            </w:r>
          </w:p>
        </w:tc>
        <w:tc>
          <w:tcPr>
            <w:tcW w:w="8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8</w:t>
            </w:r>
          </w:p>
        </w:tc>
        <w:tc>
          <w:tcPr>
            <w:tcW w:w="73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9</w:t>
            </w:r>
          </w:p>
        </w:tc>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r>
      <w:tr w:rsidR="00AA422F">
        <w:tc>
          <w:tcPr>
            <w:tcW w:w="18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Водопровод </w:t>
            </w:r>
          </w:p>
        </w:tc>
        <w:tc>
          <w:tcPr>
            <w:tcW w:w="15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c>
          <w:tcPr>
            <w:tcW w:w="130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9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AA422F">
        <w:tc>
          <w:tcPr>
            <w:tcW w:w="18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Самотечная канализация (бытовая и дождевая)</w:t>
            </w:r>
          </w:p>
        </w:tc>
        <w:tc>
          <w:tcPr>
            <w:tcW w:w="15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130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AA422F">
        <w:tc>
          <w:tcPr>
            <w:tcW w:w="18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Дренаж</w:t>
            </w:r>
          </w:p>
        </w:tc>
        <w:tc>
          <w:tcPr>
            <w:tcW w:w="15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30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AA422F">
        <w:tc>
          <w:tcPr>
            <w:tcW w:w="18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Сопутствующий дренаж</w:t>
            </w:r>
          </w:p>
        </w:tc>
        <w:tc>
          <w:tcPr>
            <w:tcW w:w="15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0,4</w:t>
            </w:r>
          </w:p>
        </w:tc>
        <w:tc>
          <w:tcPr>
            <w:tcW w:w="156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0,4</w:t>
            </w:r>
          </w:p>
        </w:tc>
        <w:tc>
          <w:tcPr>
            <w:tcW w:w="130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0,4</w:t>
            </w:r>
          </w:p>
        </w:tc>
        <w:tc>
          <w:tcPr>
            <w:tcW w:w="9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8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73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r w:rsidR="00AA422F">
        <w:tc>
          <w:tcPr>
            <w:tcW w:w="18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Тепловые сети</w:t>
            </w:r>
          </w:p>
        </w:tc>
        <w:tc>
          <w:tcPr>
            <w:tcW w:w="1559"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301"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91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869"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73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18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от наружной стенки канала, тоннеля</w:t>
            </w:r>
          </w:p>
        </w:tc>
        <w:tc>
          <w:tcPr>
            <w:tcW w:w="15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color w:val="000000"/>
                <w:sz w:val="28"/>
                <w:szCs w:val="28"/>
              </w:rPr>
              <w:t xml:space="preserve">(см. </w:t>
            </w:r>
            <w:hyperlink r:id="rId89" w:anchor="Par1795#Par1795" w:tooltip="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 w:history="1">
              <w:r>
                <w:rPr>
                  <w:rStyle w:val="Hyperlink"/>
                  <w:rFonts w:ascii="Times New Roman" w:hAnsi="Times New Roman"/>
                  <w:color w:val="000000"/>
                  <w:sz w:val="28"/>
                  <w:szCs w:val="28"/>
                  <w:u w:val="none"/>
                </w:rPr>
                <w:t>прим. 3</w:t>
              </w:r>
            </w:hyperlink>
            <w:r>
              <w:rPr>
                <w:rFonts w:ascii="Times New Roman" w:hAnsi="Times New Roman" w:cs="Times New Roman"/>
                <w:color w:val="000000"/>
                <w:sz w:val="28"/>
                <w:szCs w:val="28"/>
              </w:rPr>
              <w:t>)</w:t>
            </w:r>
          </w:p>
        </w:tc>
        <w:tc>
          <w:tcPr>
            <w:tcW w:w="1560"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r>
              <w:rPr>
                <w:rFonts w:ascii="Times New Roman" w:hAnsi="Times New Roman" w:cs="Times New Roman"/>
                <w:sz w:val="28"/>
                <w:szCs w:val="28"/>
              </w:rPr>
              <w:t>1,5</w:t>
            </w:r>
          </w:p>
        </w:tc>
        <w:tc>
          <w:tcPr>
            <w:tcW w:w="130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AA422F">
        <w:tc>
          <w:tcPr>
            <w:tcW w:w="18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от оболочки бесканальной прокладки</w:t>
            </w:r>
          </w:p>
        </w:tc>
        <w:tc>
          <w:tcPr>
            <w:tcW w:w="15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130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AA422F">
        <w:tc>
          <w:tcPr>
            <w:tcW w:w="18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Кабели силовые всех напряжений и кабели связи</w:t>
            </w:r>
          </w:p>
        </w:tc>
        <w:tc>
          <w:tcPr>
            <w:tcW w:w="15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0,6</w:t>
            </w:r>
          </w:p>
        </w:tc>
        <w:tc>
          <w:tcPr>
            <w:tcW w:w="156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c>
          <w:tcPr>
            <w:tcW w:w="130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0,5 </w:t>
            </w:r>
            <w:hyperlink r:id="rId90" w:anchor="Par1790#Par1790" w:tooltip="&lt;*&gt; Относится только к расстояниям от силовых кабелей." w:history="1">
              <w:r>
                <w:rPr>
                  <w:rStyle w:val="Hyperlink"/>
                  <w:rFonts w:ascii="Times New Roman" w:hAnsi="Times New Roman"/>
                  <w:color w:val="000000"/>
                  <w:sz w:val="28"/>
                  <w:szCs w:val="28"/>
                  <w:u w:val="none"/>
                </w:rPr>
                <w:t>&lt;*&gt;</w:t>
              </w:r>
            </w:hyperlink>
          </w:p>
        </w:tc>
        <w:tc>
          <w:tcPr>
            <w:tcW w:w="73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hyperlink r:id="rId91" w:anchor="Par1790#Par1790" w:tooltip="&lt;*&gt; Относится только к расстояниям от силовых кабелей." w:history="1">
              <w:r>
                <w:rPr>
                  <w:rStyle w:val="Hyperlink"/>
                  <w:rFonts w:ascii="Times New Roman" w:hAnsi="Times New Roman"/>
                  <w:color w:val="000000"/>
                  <w:sz w:val="28"/>
                  <w:szCs w:val="28"/>
                  <w:u w:val="none"/>
                </w:rPr>
                <w:t>&lt;*&gt;</w:t>
              </w:r>
            </w:hyperlink>
          </w:p>
        </w:tc>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10 </w:t>
            </w:r>
            <w:hyperlink r:id="rId92" w:anchor="Par1790#Par1790" w:tooltip="&lt;*&gt; Относится только к расстояниям от силовых кабелей." w:history="1">
              <w:r>
                <w:rPr>
                  <w:rStyle w:val="Hyperlink"/>
                  <w:rFonts w:ascii="Times New Roman" w:hAnsi="Times New Roman"/>
                  <w:color w:val="000000"/>
                  <w:sz w:val="28"/>
                  <w:szCs w:val="28"/>
                  <w:u w:val="none"/>
                </w:rPr>
                <w:t>&lt;*&gt;</w:t>
              </w:r>
            </w:hyperlink>
          </w:p>
        </w:tc>
      </w:tr>
      <w:tr w:rsidR="00AA422F">
        <w:tc>
          <w:tcPr>
            <w:tcW w:w="18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Каналы, коммуникационные тоннели</w:t>
            </w:r>
          </w:p>
        </w:tc>
        <w:tc>
          <w:tcPr>
            <w:tcW w:w="15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130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hyperlink r:id="rId93" w:anchor="Par1790#Par1790" w:tooltip="&lt;*&gt; Относится только к расстояниям от силовых кабелей." w:history="1">
              <w:r>
                <w:rPr>
                  <w:rStyle w:val="Hyperlink"/>
                  <w:rFonts w:ascii="Times New Roman" w:hAnsi="Times New Roman"/>
                  <w:color w:val="000000"/>
                  <w:sz w:val="28"/>
                  <w:szCs w:val="28"/>
                  <w:u w:val="none"/>
                </w:rPr>
                <w:t>&lt;*&gt;</w:t>
              </w:r>
            </w:hyperlink>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p>
    <w:p w:rsidR="00AA422F" w:rsidRDefault="00AA422F" w:rsidP="00434EF1">
      <w:pPr>
        <w:pStyle w:val="ConsPlusNormal"/>
        <w:ind w:firstLine="540"/>
        <w:jc w:val="both"/>
        <w:rPr>
          <w:rFonts w:ascii="Times New Roman" w:hAnsi="Times New Roman" w:cs="Times New Roman"/>
          <w:sz w:val="28"/>
          <w:szCs w:val="28"/>
        </w:rPr>
      </w:pPr>
      <w:bookmarkStart w:id="25" w:name="Par1790"/>
      <w:bookmarkEnd w:id="25"/>
      <w:r>
        <w:rPr>
          <w:rFonts w:ascii="Times New Roman" w:hAnsi="Times New Roman" w:cs="Times New Roman"/>
          <w:sz w:val="28"/>
          <w:szCs w:val="28"/>
        </w:rPr>
        <w:t>&lt;*&gt; Относится только к расстояниям от силовых кабелей.</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Расстояния от тепловых сетей при бесканальной прокладке до зданий и сооружений следует принимать как для водопровода.</w:t>
      </w:r>
    </w:p>
    <w:p w:rsidR="00AA422F" w:rsidRDefault="00AA422F" w:rsidP="00434EF1">
      <w:pPr>
        <w:pStyle w:val="ConsPlusNormal"/>
        <w:ind w:firstLine="540"/>
        <w:jc w:val="both"/>
        <w:rPr>
          <w:rFonts w:ascii="Times New Roman" w:hAnsi="Times New Roman" w:cs="Times New Roman"/>
          <w:sz w:val="28"/>
          <w:szCs w:val="28"/>
        </w:rPr>
      </w:pPr>
      <w:bookmarkStart w:id="26" w:name="Par1795"/>
      <w:bookmarkEnd w:id="26"/>
      <w:r>
        <w:rPr>
          <w:rFonts w:ascii="Times New Roman" w:hAnsi="Times New Roman" w:cs="Times New Roman"/>
          <w:sz w:val="28"/>
          <w:szCs w:val="28"/>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16.6. Расстояния по горизонтали (в свету) между соседними инженерными подземными сетями при их параллельном размещении следует принимать не менее 0,5 м. При разнице в глубине заложения смежных трубопроводов свыше 0,4 м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4"/>
        <w:rPr>
          <w:rFonts w:ascii="Times New Roman" w:hAnsi="Times New Roman" w:cs="Times New Roman"/>
          <w:sz w:val="28"/>
          <w:szCs w:val="28"/>
        </w:rPr>
      </w:pPr>
      <w:bookmarkStart w:id="27" w:name="Par1800"/>
      <w:bookmarkEnd w:id="27"/>
      <w:r>
        <w:rPr>
          <w:rFonts w:ascii="Times New Roman" w:hAnsi="Times New Roman" w:cs="Times New Roman"/>
          <w:sz w:val="28"/>
          <w:szCs w:val="28"/>
        </w:rPr>
        <w:t>Таблица 20</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1843"/>
        <w:gridCol w:w="992"/>
        <w:gridCol w:w="851"/>
        <w:gridCol w:w="992"/>
        <w:gridCol w:w="992"/>
        <w:gridCol w:w="993"/>
        <w:gridCol w:w="1134"/>
        <w:gridCol w:w="1134"/>
        <w:gridCol w:w="1275"/>
      </w:tblGrid>
      <w:tr w:rsidR="00AA422F">
        <w:tc>
          <w:tcPr>
            <w:tcW w:w="1843"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Инженерные сети</w:t>
            </w:r>
          </w:p>
        </w:tc>
        <w:tc>
          <w:tcPr>
            <w:tcW w:w="8363" w:type="dxa"/>
            <w:gridSpan w:val="8"/>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Расстояние, м, по горизонтали (в свету) до</w:t>
            </w:r>
          </w:p>
        </w:tc>
      </w:tr>
      <w:tr w:rsidR="00AA422F">
        <w:tc>
          <w:tcPr>
            <w:tcW w:w="1843"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водопровода</w:t>
            </w:r>
          </w:p>
        </w:tc>
        <w:tc>
          <w:tcPr>
            <w:tcW w:w="851"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канализации бытовой</w:t>
            </w:r>
          </w:p>
        </w:tc>
        <w:tc>
          <w:tcPr>
            <w:tcW w:w="992"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дренажа и дождевой канализации</w:t>
            </w:r>
          </w:p>
        </w:tc>
        <w:tc>
          <w:tcPr>
            <w:tcW w:w="992"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кабелей силовых всех напряжений</w:t>
            </w:r>
          </w:p>
        </w:tc>
        <w:tc>
          <w:tcPr>
            <w:tcW w:w="993"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кабелей связи</w:t>
            </w:r>
          </w:p>
        </w:tc>
        <w:tc>
          <w:tcPr>
            <w:tcW w:w="2268" w:type="dxa"/>
            <w:gridSpan w:val="2"/>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тепловых сетей</w:t>
            </w:r>
          </w:p>
        </w:tc>
        <w:tc>
          <w:tcPr>
            <w:tcW w:w="1275"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каналов, тоннелей</w:t>
            </w:r>
          </w:p>
        </w:tc>
      </w:tr>
      <w:tr w:rsidR="00AA422F">
        <w:tc>
          <w:tcPr>
            <w:tcW w:w="1843"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134"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наружная стенка канала, тоннеля</w:t>
            </w:r>
          </w:p>
        </w:tc>
        <w:tc>
          <w:tcPr>
            <w:tcW w:w="1134"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оболочка бесканальной прокладки</w:t>
            </w:r>
          </w:p>
        </w:tc>
        <w:tc>
          <w:tcPr>
            <w:tcW w:w="1275"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r>
      <w:tr w:rsidR="00AA422F">
        <w:tc>
          <w:tcPr>
            <w:tcW w:w="18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Водопровод</w:t>
            </w:r>
          </w:p>
        </w:tc>
        <w:tc>
          <w:tcPr>
            <w:tcW w:w="992"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см. </w:t>
            </w:r>
            <w:hyperlink r:id="rId94" w:anchor="Par1919#Par1919" w:tooltip="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 w:history="1">
              <w:r>
                <w:rPr>
                  <w:rStyle w:val="Hyperlink"/>
                  <w:rFonts w:ascii="Times New Roman" w:hAnsi="Times New Roman"/>
                  <w:color w:val="000000"/>
                  <w:sz w:val="28"/>
                  <w:szCs w:val="28"/>
                  <w:u w:val="none"/>
                </w:rPr>
                <w:t>прим. 1</w:t>
              </w:r>
            </w:hyperlink>
          </w:p>
        </w:tc>
        <w:tc>
          <w:tcPr>
            <w:tcW w:w="851"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см. </w:t>
            </w:r>
            <w:hyperlink r:id="rId95" w:anchor="Par1920#Par1920" w:tooltip="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 w:history="1">
              <w:r>
                <w:rPr>
                  <w:rStyle w:val="Hyperlink"/>
                  <w:rFonts w:ascii="Times New Roman" w:hAnsi="Times New Roman"/>
                  <w:color w:val="000000"/>
                  <w:sz w:val="28"/>
                  <w:szCs w:val="28"/>
                  <w:u w:val="none"/>
                </w:rPr>
                <w:t>прим. 2</w:t>
              </w:r>
            </w:hyperlink>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0,5 </w:t>
            </w:r>
            <w:hyperlink r:id="rId96" w:anchor="Par1916#Par1916" w:tooltip="&lt;*&gt; В соответствии с требованиями Правил устройства электроустановок (ПУЭ)." w:history="1">
              <w:r>
                <w:rPr>
                  <w:rStyle w:val="Hyperlink"/>
                  <w:rFonts w:ascii="Times New Roman" w:hAnsi="Times New Roman"/>
                  <w:color w:val="000000"/>
                  <w:sz w:val="28"/>
                  <w:szCs w:val="28"/>
                  <w:u w:val="none"/>
                </w:rPr>
                <w:t>&lt;*&gt;</w:t>
              </w:r>
            </w:hyperlink>
          </w:p>
        </w:tc>
        <w:tc>
          <w:tcPr>
            <w:tcW w:w="9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0,5</w:t>
            </w:r>
          </w:p>
        </w:tc>
        <w:tc>
          <w:tcPr>
            <w:tcW w:w="11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1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r>
      <w:tr w:rsidR="00AA422F">
        <w:tc>
          <w:tcPr>
            <w:tcW w:w="1843"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Канализация бытовая</w:t>
            </w:r>
          </w:p>
        </w:tc>
        <w:tc>
          <w:tcPr>
            <w:tcW w:w="992"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см. </w:t>
            </w:r>
            <w:hyperlink r:id="rId97" w:anchor="Par1920#Par1920" w:tooltip="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 w:history="1">
              <w:r>
                <w:rPr>
                  <w:rStyle w:val="Hyperlink"/>
                  <w:rFonts w:ascii="Times New Roman" w:hAnsi="Times New Roman"/>
                  <w:color w:val="000000"/>
                  <w:sz w:val="28"/>
                  <w:szCs w:val="28"/>
                  <w:u w:val="none"/>
                </w:rPr>
                <w:t>прим. 2</w:t>
              </w:r>
            </w:hyperlink>
          </w:p>
        </w:tc>
        <w:tc>
          <w:tcPr>
            <w:tcW w:w="8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0,4</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0,4</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0,5 </w:t>
            </w:r>
            <w:hyperlink r:id="rId98" w:anchor="Par1916#Par1916" w:tooltip="&lt;*&gt; В соответствии с требованиями Правил устройства электроустановок (ПУЭ)." w:history="1">
              <w:r>
                <w:rPr>
                  <w:rStyle w:val="Hyperlink"/>
                  <w:rFonts w:ascii="Times New Roman" w:hAnsi="Times New Roman"/>
                  <w:color w:val="000000"/>
                  <w:sz w:val="28"/>
                  <w:szCs w:val="28"/>
                  <w:u w:val="none"/>
                </w:rPr>
                <w:t>&lt;*&gt;</w:t>
              </w:r>
            </w:hyperlink>
          </w:p>
        </w:tc>
        <w:tc>
          <w:tcPr>
            <w:tcW w:w="9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0,5</w:t>
            </w:r>
          </w:p>
        </w:tc>
        <w:tc>
          <w:tcPr>
            <w:tcW w:w="1134"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AA422F">
        <w:tc>
          <w:tcPr>
            <w:tcW w:w="1843"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Канализация дождевая</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8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0,4</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0,4</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0,5 </w:t>
            </w:r>
            <w:hyperlink r:id="rId99" w:anchor="Par1916#Par1916" w:tooltip="&lt;*&gt; В соответствии с требованиями Правил устройства электроустановок (ПУЭ)." w:history="1">
              <w:r>
                <w:rPr>
                  <w:rStyle w:val="Hyperlink"/>
                  <w:rFonts w:ascii="Times New Roman" w:hAnsi="Times New Roman"/>
                  <w:color w:val="000000"/>
                  <w:sz w:val="28"/>
                  <w:szCs w:val="28"/>
                  <w:u w:val="none"/>
                </w:rPr>
                <w:t>&lt;*&gt;</w:t>
              </w:r>
            </w:hyperlink>
          </w:p>
        </w:tc>
        <w:tc>
          <w:tcPr>
            <w:tcW w:w="9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0,5</w:t>
            </w:r>
          </w:p>
        </w:tc>
        <w:tc>
          <w:tcPr>
            <w:tcW w:w="1134"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AA422F">
        <w:tc>
          <w:tcPr>
            <w:tcW w:w="1843"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Кабели силовые всех напряжений</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0,5 </w:t>
            </w:r>
            <w:hyperlink r:id="rId100" w:anchor="Par1916#Par1916" w:tooltip="&lt;*&gt; В соответствии с требованиями Правил устройства электроустановок (ПУЭ)." w:history="1">
              <w:r>
                <w:rPr>
                  <w:rStyle w:val="Hyperlink"/>
                  <w:rFonts w:ascii="Times New Roman" w:hAnsi="Times New Roman"/>
                  <w:color w:val="000000"/>
                  <w:sz w:val="28"/>
                  <w:szCs w:val="28"/>
                  <w:u w:val="none"/>
                </w:rPr>
                <w:t>&lt;*&gt;</w:t>
              </w:r>
            </w:hyperlink>
          </w:p>
        </w:tc>
        <w:tc>
          <w:tcPr>
            <w:tcW w:w="8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0,5 </w:t>
            </w:r>
            <w:hyperlink r:id="rId101" w:anchor="Par1916#Par1916" w:tooltip="&lt;*&gt; В соответствии с требованиями Правил устройства электроустановок (ПУЭ)." w:history="1">
              <w:r>
                <w:rPr>
                  <w:rStyle w:val="Hyperlink"/>
                  <w:rFonts w:ascii="Times New Roman" w:hAnsi="Times New Roman"/>
                  <w:color w:val="000000"/>
                  <w:sz w:val="28"/>
                  <w:szCs w:val="28"/>
                  <w:u w:val="none"/>
                </w:rPr>
                <w:t>&lt;*&gt;</w:t>
              </w:r>
            </w:hyperlink>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0,5 </w:t>
            </w:r>
            <w:hyperlink r:id="rId102" w:anchor="Par1916#Par1916" w:tooltip="&lt;*&gt; В соответствии с требованиями Правил устройства электроустановок (ПУЭ)." w:history="1">
              <w:r>
                <w:rPr>
                  <w:rStyle w:val="Hyperlink"/>
                  <w:rFonts w:ascii="Times New Roman" w:hAnsi="Times New Roman"/>
                  <w:color w:val="000000"/>
                  <w:sz w:val="28"/>
                  <w:szCs w:val="28"/>
                  <w:u w:val="none"/>
                </w:rPr>
                <w:t>&lt;*&gt;</w:t>
              </w:r>
            </w:hyperlink>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0,1 - 0,5 </w:t>
            </w:r>
            <w:hyperlink r:id="rId103" w:anchor="Par1916#Par1916" w:tooltip="&lt;*&gt; В соответствии с требованиями Правил устройства электроустановок (ПУЭ)." w:history="1">
              <w:r>
                <w:rPr>
                  <w:rStyle w:val="Hyperlink"/>
                  <w:rFonts w:ascii="Times New Roman" w:hAnsi="Times New Roman"/>
                  <w:color w:val="000000"/>
                  <w:sz w:val="28"/>
                  <w:szCs w:val="28"/>
                  <w:u w:val="none"/>
                </w:rPr>
                <w:t>&lt;*&gt;</w:t>
              </w:r>
            </w:hyperlink>
          </w:p>
        </w:tc>
        <w:tc>
          <w:tcPr>
            <w:tcW w:w="9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c>
          <w:tcPr>
            <w:tcW w:w="11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AA422F">
        <w:tc>
          <w:tcPr>
            <w:tcW w:w="1843"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Кабели связи</w:t>
            </w:r>
          </w:p>
        </w:tc>
        <w:tc>
          <w:tcPr>
            <w:tcW w:w="992"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c>
          <w:tcPr>
            <w:tcW w:w="851"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c>
          <w:tcPr>
            <w:tcW w:w="992"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c>
          <w:tcPr>
            <w:tcW w:w="992"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c>
          <w:tcPr>
            <w:tcW w:w="993"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AA422F">
        <w:tc>
          <w:tcPr>
            <w:tcW w:w="1843"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Тепловые сети</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1843"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от наружной стенки канала, тоннеля</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AA422F">
        <w:tc>
          <w:tcPr>
            <w:tcW w:w="1843" w:type="dxa"/>
            <w:tcBorders>
              <w:top w:val="single" w:sz="4" w:space="0" w:color="auto"/>
              <w:left w:val="single" w:sz="4" w:space="0" w:color="auto"/>
              <w:bottom w:val="single" w:sz="4" w:space="0" w:color="auto"/>
              <w:right w:val="single" w:sz="4" w:space="0" w:color="auto"/>
            </w:tcBorders>
            <w:vAlign w:val="bottom"/>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от оболочки бесканальной прокладки</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AA422F">
        <w:tc>
          <w:tcPr>
            <w:tcW w:w="1843"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Каналы, тоннели</w:t>
            </w:r>
          </w:p>
        </w:tc>
        <w:tc>
          <w:tcPr>
            <w:tcW w:w="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p>
    <w:p w:rsidR="00AA422F" w:rsidRDefault="00AA422F" w:rsidP="00434EF1">
      <w:pPr>
        <w:pStyle w:val="ConsPlusNormal"/>
        <w:ind w:firstLine="540"/>
        <w:jc w:val="both"/>
        <w:rPr>
          <w:rFonts w:ascii="Times New Roman" w:hAnsi="Times New Roman" w:cs="Times New Roman"/>
          <w:sz w:val="28"/>
          <w:szCs w:val="28"/>
        </w:rPr>
      </w:pPr>
      <w:bookmarkStart w:id="28" w:name="Par1916"/>
      <w:bookmarkEnd w:id="28"/>
      <w:r>
        <w:rPr>
          <w:rFonts w:ascii="Times New Roman" w:hAnsi="Times New Roman" w:cs="Times New Roman"/>
          <w:sz w:val="28"/>
          <w:szCs w:val="28"/>
        </w:rPr>
        <w:t xml:space="preserve">&lt;*&gt; В соответствии с </w:t>
      </w:r>
      <w:r>
        <w:rPr>
          <w:rFonts w:ascii="Times New Roman" w:hAnsi="Times New Roman" w:cs="Times New Roman"/>
          <w:color w:val="000000"/>
          <w:sz w:val="28"/>
          <w:szCs w:val="28"/>
        </w:rPr>
        <w:t xml:space="preserve">требованиями </w:t>
      </w:r>
      <w:hyperlink r:id="rId104" w:tooltip="Справочная информация: &quot;Правила устройства электроустановок (ПУЭ)&quot; (Материал подготовлен специалистами КонсультантПлюс){КонсультантПлюс}" w:history="1">
        <w:r>
          <w:rPr>
            <w:rStyle w:val="Hyperlink"/>
            <w:rFonts w:ascii="Times New Roman" w:hAnsi="Times New Roman"/>
            <w:color w:val="000000"/>
            <w:sz w:val="28"/>
            <w:szCs w:val="28"/>
            <w:u w:val="none"/>
          </w:rPr>
          <w:t>Правил</w:t>
        </w:r>
      </w:hyperlink>
      <w:r>
        <w:rPr>
          <w:rFonts w:ascii="Times New Roman" w:hAnsi="Times New Roman" w:cs="Times New Roman"/>
          <w:sz w:val="28"/>
          <w:szCs w:val="28"/>
        </w:rPr>
        <w:t xml:space="preserve"> устройства электроустановок (ПУЭ).</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bookmarkStart w:id="29" w:name="Par1919"/>
      <w:bookmarkEnd w:id="29"/>
      <w:r>
        <w:rPr>
          <w:rFonts w:ascii="Times New Roman" w:hAnsi="Times New Roman" w:cs="Times New Roman"/>
          <w:sz w:val="28"/>
          <w:szCs w:val="28"/>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w:t>
      </w:r>
    </w:p>
    <w:p w:rsidR="00AA422F" w:rsidRDefault="00AA422F" w:rsidP="00434EF1">
      <w:pPr>
        <w:pStyle w:val="ConsPlusNormal"/>
        <w:ind w:firstLine="540"/>
        <w:jc w:val="both"/>
        <w:rPr>
          <w:rFonts w:ascii="Times New Roman" w:hAnsi="Times New Roman" w:cs="Times New Roman"/>
          <w:sz w:val="28"/>
          <w:szCs w:val="28"/>
        </w:rPr>
      </w:pPr>
      <w:bookmarkStart w:id="30" w:name="Par1920"/>
      <w:bookmarkEnd w:id="30"/>
      <w:r>
        <w:rPr>
          <w:rFonts w:ascii="Times New Roman" w:hAnsi="Times New Roman" w:cs="Times New Roman"/>
          <w:sz w:val="28"/>
          <w:szCs w:val="28"/>
        </w:rPr>
        <w:t>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16.7. При пересечении инженерных сетей между собой расстояния по вертикали (в свету) следует принимать в соответствии с требованиями СП 18.13330.</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16.8. Указанные в таблицах 20и 21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16.9.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16.10.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16.11.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СП 125.13330.2012.</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V. Расчетные показатели в сфере охраны окружающей среды</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17. Рациональное использование и охрана природных ресурсов</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17.1.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17.2. Выбор территории для строительства новых и развития существующих населенных пунктов следует предусматривать на основе утвержденной в установленном порядке документации о территориальном планировании. При разработке документации о территориальном планировании муниципальных образований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17.3. Проектирование и строительство населенных пунктов, промышленных комплексов и других хозяйственных объектов осуществляются с учетом требований </w:t>
      </w:r>
      <w:hyperlink r:id="rId105" w:tooltip="Закон РФ от 21.02.1992 N 2395-1 (ред. от 03.07.2016) &quot;О недрах&quot; (с изм. и доп., вступ. в силу с 03.10.2016){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sz w:val="28"/>
          <w:szCs w:val="28"/>
        </w:rPr>
        <w:t xml:space="preserve"> Российской Федерации от 21.02.1992 № 2395-1 «О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17.6. Пригодность нарушенных земель для различных видов использования после рекультивации следует оценивать согласно ГОСТ 17.5.3.04-83 и ГОСТ 17.5.1.02-85.</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17.7. Размещение объектов капитального строительства в рекреационных, особо охраняемых зонах, зонах отдыха осуществляется в соответствии с требованиями </w:t>
      </w:r>
      <w:hyperlink r:id="rId106" w:anchor="Par454#Par454" w:tooltip="6. Зоны рекреационного назначения." w:history="1">
        <w:r>
          <w:rPr>
            <w:rStyle w:val="Hyperlink"/>
            <w:rFonts w:ascii="Times New Roman" w:hAnsi="Times New Roman"/>
            <w:color w:val="000000"/>
            <w:sz w:val="28"/>
            <w:szCs w:val="28"/>
            <w:u w:val="none"/>
          </w:rPr>
          <w:t>главы 6</w:t>
        </w:r>
      </w:hyperlink>
      <w:r>
        <w:rPr>
          <w:rFonts w:ascii="Times New Roman" w:hAnsi="Times New Roman" w:cs="Times New Roman"/>
          <w:sz w:val="28"/>
          <w:szCs w:val="28"/>
        </w:rPr>
        <w:t xml:space="preserve"> настоящих нормативов.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 использования.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17.9. Размещение объектов в границах водоохранных зон регламентируется </w:t>
      </w:r>
      <w:r>
        <w:rPr>
          <w:rFonts w:ascii="Times New Roman" w:hAnsi="Times New Roman" w:cs="Times New Roman"/>
          <w:color w:val="000000"/>
          <w:sz w:val="28"/>
          <w:szCs w:val="28"/>
        </w:rPr>
        <w:t xml:space="preserve">Водным </w:t>
      </w:r>
      <w:hyperlink r:id="rId107" w:tooltip="&quot;Водный кодекс Российской Федерации&quot; от 03.06.2006 N 74-ФЗ (ред. от 31.10.2016){КонсультантПлюс}" w:history="1">
        <w:r>
          <w:rPr>
            <w:rStyle w:val="Hyperlink"/>
            <w:rFonts w:ascii="Times New Roman" w:hAnsi="Times New Roman"/>
            <w:color w:val="000000"/>
            <w:sz w:val="28"/>
            <w:szCs w:val="28"/>
            <w:u w:val="none"/>
          </w:rPr>
          <w:t>кодексом</w:t>
        </w:r>
      </w:hyperlink>
      <w:r>
        <w:rPr>
          <w:rFonts w:ascii="Times New Roman" w:hAnsi="Times New Roman" w:cs="Times New Roman"/>
          <w:sz w:val="28"/>
          <w:szCs w:val="28"/>
        </w:rPr>
        <w:t xml:space="preserve"> Российской Федерации.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w:t>
      </w:r>
      <w:hyperlink r:id="rId108" w:tooltip="Постановление Главного государственного санитарного врача РФ от 14.03.2002 N 10 &quot;О введении в действие Санитарных правил и норм &quot;Зоны санитарной охраны источников водоснабжения и водопроводов питьевого назначения. СанПиН 2.1.4.1110-02&quot; (с изм. от 25.09.20" w:history="1">
        <w:r>
          <w:rPr>
            <w:rStyle w:val="Hyperlink"/>
            <w:rFonts w:ascii="Times New Roman" w:hAnsi="Times New Roman"/>
            <w:color w:val="000000"/>
            <w:sz w:val="28"/>
            <w:szCs w:val="28"/>
            <w:u w:val="none"/>
          </w:rPr>
          <w:t>СанПиН 2.1.4.1110</w:t>
        </w:r>
      </w:hyperlink>
      <w:r>
        <w:rPr>
          <w:rFonts w:ascii="Times New Roman" w:hAnsi="Times New Roman" w:cs="Times New Roman"/>
          <w:color w:val="000000"/>
          <w:sz w:val="28"/>
          <w:szCs w:val="28"/>
        </w:rPr>
        <w:t>-02.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17.11. Вокруг муниципального образования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не менее 50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17.12. Леса зеленых зон населенных пунктов, округов санитарной охраны, должны быть использованы в рекреационных, санитарно-гигиенических и оздоровительных целях.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17.13. В границах муниципального образования и зеленой зоны следует предусматривать формирование единого природного каркаса на базе гидрографической сети, с учетом геоморфологии и рельефа, включая: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особо охраняемые природные территории, другие зоны рекреационного назначения, естественные экосистемы, сельскохозяйственные земли, зоны с особыми условиями использования территорий (зоны охраны объектов природного и культурного наследия);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водоохранные зоны; зоны охраны источников водоснабжения, ценные леса зеленых зон (противоэрозионные, берегозащитные, почвозащитные, места обитания редких видов животных и др.).</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17.14. Перечни существующих, планируемых к организации и расширению особо охраняемых природных территорий краевого значения приведены в </w:t>
      </w:r>
      <w:hyperlink r:id="rId109" w:anchor="Par5733#Par5733" w:tooltip="ПЕРЕЧЕНЬ" w:history="1">
        <w:r>
          <w:rPr>
            <w:rStyle w:val="Hyperlink"/>
            <w:rFonts w:ascii="Times New Roman" w:hAnsi="Times New Roman"/>
            <w:color w:val="000000"/>
            <w:sz w:val="28"/>
            <w:szCs w:val="28"/>
            <w:u w:val="none"/>
          </w:rPr>
          <w:t>Приложениях Н</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настоящих нормативов.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17.15. Параметры и режимы регулирования градостроительной и хозяйственной деятельности следует устанавливать с </w:t>
      </w:r>
      <w:r>
        <w:rPr>
          <w:rFonts w:ascii="Times New Roman" w:hAnsi="Times New Roman" w:cs="Times New Roman"/>
          <w:color w:val="000000"/>
          <w:sz w:val="28"/>
          <w:szCs w:val="28"/>
        </w:rPr>
        <w:t xml:space="preserve">учетом </w:t>
      </w:r>
      <w:hyperlink r:id="rId110" w:tooltip="&quot;Земельный кодекс Российской Федерации&quot; от 25.10.2001 N 136-ФЗ (ред. от 03.07.2016) (с изм. и доп., вступ. в силу с 01.09.2016){КонсультантПлюс}" w:history="1">
        <w:r>
          <w:rPr>
            <w:rStyle w:val="Hyperlink"/>
            <w:rFonts w:ascii="Times New Roman" w:hAnsi="Times New Roman"/>
            <w:color w:val="000000"/>
            <w:sz w:val="28"/>
            <w:szCs w:val="28"/>
            <w:u w:val="none"/>
          </w:rPr>
          <w:t>Земельного</w:t>
        </w:r>
      </w:hyperlink>
      <w:r>
        <w:rPr>
          <w:rFonts w:ascii="Times New Roman" w:hAnsi="Times New Roman" w:cs="Times New Roman"/>
          <w:color w:val="000000"/>
          <w:sz w:val="28"/>
          <w:szCs w:val="28"/>
        </w:rPr>
        <w:t xml:space="preserve">, </w:t>
      </w:r>
      <w:hyperlink r:id="rId111" w:tooltip="&quot;Лесной кодекс Российской Федерации&quot; от 04.12.2006 N 200-ФЗ (ред. от 03.07.2016) (с изм. и доп., вступ. в силу с 01.10.2016){КонсультантПлюс}" w:history="1">
        <w:r>
          <w:rPr>
            <w:rStyle w:val="Hyperlink"/>
            <w:rFonts w:ascii="Times New Roman" w:hAnsi="Times New Roman"/>
            <w:color w:val="000000"/>
            <w:sz w:val="28"/>
            <w:szCs w:val="28"/>
            <w:u w:val="none"/>
          </w:rPr>
          <w:t>Лесного</w:t>
        </w:r>
      </w:hyperlink>
      <w:r>
        <w:rPr>
          <w:rFonts w:ascii="Times New Roman" w:hAnsi="Times New Roman" w:cs="Times New Roman"/>
          <w:color w:val="000000"/>
          <w:sz w:val="28"/>
          <w:szCs w:val="28"/>
        </w:rPr>
        <w:t xml:space="preserve"> и </w:t>
      </w:r>
      <w:hyperlink r:id="rId112" w:tooltip="&quot;Водный кодекс Российской Федерации&quot; от 03.06.2006 N 74-ФЗ (ред. от 31.10.2016){КонсультантПлюс}" w:history="1">
        <w:r>
          <w:rPr>
            <w:rStyle w:val="Hyperlink"/>
            <w:rFonts w:ascii="Times New Roman" w:hAnsi="Times New Roman"/>
            <w:color w:val="000000"/>
            <w:sz w:val="28"/>
            <w:szCs w:val="28"/>
            <w:u w:val="none"/>
          </w:rPr>
          <w:t>Водного</w:t>
        </w:r>
      </w:hyperlink>
      <w:r>
        <w:rPr>
          <w:rFonts w:ascii="Times New Roman" w:hAnsi="Times New Roman" w:cs="Times New Roman"/>
          <w:sz w:val="28"/>
          <w:szCs w:val="28"/>
        </w:rPr>
        <w:t xml:space="preserve"> кодексов Российской Федерации.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17.16. При осуществлении градостроительной и хозяйственной деятельности подлежат выполнению требования, изложенные в </w:t>
      </w:r>
      <w:hyperlink r:id="rId113" w:tooltip="Постановление Правительства РФ от 13.08.1996 N 997 (ред. от 13.03.2008) &quo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 w:history="1">
        <w:r>
          <w:rPr>
            <w:rStyle w:val="Hyperlink"/>
            <w:rFonts w:ascii="Times New Roman" w:hAnsi="Times New Roman"/>
            <w:color w:val="000000"/>
            <w:sz w:val="28"/>
            <w:szCs w:val="28"/>
            <w:u w:val="none"/>
          </w:rPr>
          <w:t>постановлении</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18. Защита атмосферного воздуха, поверхностных</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и подземных вод и почв от загрязнения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- 0,8 ПДК.</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18.2.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hyperlink r:id="rId11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-03.</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18.5. Расчет загрязненности атмосферного воздуха следует проводить в соответствии с требованиями </w:t>
      </w:r>
      <w:hyperlink r:id="rId115"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 w:history="1">
        <w:r>
          <w:rPr>
            <w:rStyle w:val="Hyperlink"/>
            <w:rFonts w:ascii="Times New Roman" w:hAnsi="Times New Roman"/>
            <w:color w:val="000000"/>
            <w:sz w:val="28"/>
            <w:szCs w:val="28"/>
            <w:u w:val="none"/>
          </w:rPr>
          <w:t>СанПиН 2.2.1/2.1.1.1200</w:t>
        </w:r>
      </w:hyperlink>
      <w:r>
        <w:rPr>
          <w:rFonts w:ascii="Times New Roman" w:hAnsi="Times New Roman" w:cs="Times New Roman"/>
          <w:color w:val="000000"/>
          <w:sz w:val="28"/>
          <w:szCs w:val="28"/>
        </w:rPr>
        <w:t>-03</w:t>
      </w:r>
      <w:r>
        <w:rPr>
          <w:rFonts w:ascii="Times New Roman" w:hAnsi="Times New Roman" w:cs="Times New Roman"/>
          <w:sz w:val="28"/>
          <w:szCs w:val="28"/>
        </w:rPr>
        <w:t xml:space="preserve"> с учетом выделения вредных веществ автомобильным транспортом.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18.6. Мероприятия по защите водоемов и водотоков необходимо предусматривать в соответствии с требованиями </w:t>
      </w:r>
      <w:r>
        <w:rPr>
          <w:rFonts w:ascii="Times New Roman" w:hAnsi="Times New Roman" w:cs="Times New Roman"/>
          <w:color w:val="000000"/>
          <w:sz w:val="28"/>
          <w:szCs w:val="28"/>
        </w:rPr>
        <w:t xml:space="preserve">Водного </w:t>
      </w:r>
      <w:hyperlink r:id="rId116" w:tooltip="&quot;Водный кодекс Российской Федерации&quot; от 03.06.2006 N 74-ФЗ (ред. от 31.10.2016){КонсультантПлюс}" w:history="1">
        <w:r>
          <w:rPr>
            <w:rStyle w:val="Hyperlink"/>
            <w:rFonts w:ascii="Times New Roman" w:hAnsi="Times New Roman"/>
            <w:color w:val="000000"/>
            <w:sz w:val="28"/>
            <w:szCs w:val="28"/>
            <w:u w:val="none"/>
          </w:rPr>
          <w:t>кодекса</w:t>
        </w:r>
      </w:hyperlink>
      <w:r>
        <w:rPr>
          <w:rFonts w:ascii="Times New Roman" w:hAnsi="Times New Roman" w:cs="Times New Roman"/>
          <w:sz w:val="28"/>
          <w:szCs w:val="28"/>
        </w:rPr>
        <w:t xml:space="preserve">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18.7.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32.13330.2012</w:t>
      </w:r>
      <w:r>
        <w:rPr>
          <w:rFonts w:ascii="Times New Roman" w:hAnsi="Times New Roman" w:cs="Times New Roman"/>
          <w:color w:val="000000"/>
          <w:sz w:val="28"/>
          <w:szCs w:val="28"/>
        </w:rPr>
        <w:t xml:space="preserve">, </w:t>
      </w:r>
      <w:hyperlink r:id="rId117"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 w:history="1">
        <w:r>
          <w:rPr>
            <w:rStyle w:val="Hyperlink"/>
            <w:rFonts w:ascii="Times New Roman" w:hAnsi="Times New Roman"/>
            <w:color w:val="000000"/>
            <w:sz w:val="28"/>
            <w:szCs w:val="28"/>
            <w:u w:val="none"/>
          </w:rPr>
          <w:t>СанПиН 2.1.5.980</w:t>
        </w:r>
      </w:hyperlink>
      <w:r>
        <w:rPr>
          <w:rFonts w:ascii="Times New Roman" w:hAnsi="Times New Roman" w:cs="Times New Roman"/>
          <w:color w:val="000000"/>
          <w:sz w:val="28"/>
          <w:szCs w:val="28"/>
        </w:rPr>
        <w:t>-00.</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18.8. При планировке и застройке сельского поселения необходимо предусматривать организацию водоохранных зон -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18.9. Ширина водоохранной зоны водных объектов устанавливается в соответствии с Водным </w:t>
      </w:r>
      <w:hyperlink r:id="rId118" w:tooltip="&quot;Водный кодекс Российской Федерации&quot; от 03.06.2006 N 74-ФЗ (ред. от 31.10.2016){КонсультантПлюс}" w:history="1">
        <w:r>
          <w:rPr>
            <w:rStyle w:val="Hyperlink"/>
            <w:rFonts w:ascii="Times New Roman" w:hAnsi="Times New Roman"/>
            <w:color w:val="000000"/>
            <w:sz w:val="28"/>
            <w:szCs w:val="28"/>
            <w:u w:val="none"/>
          </w:rPr>
          <w:t>кодексом</w:t>
        </w:r>
      </w:hyperlink>
      <w:r>
        <w:rPr>
          <w:rFonts w:ascii="Times New Roman" w:hAnsi="Times New Roman" w:cs="Times New Roman"/>
          <w:sz w:val="28"/>
          <w:szCs w:val="28"/>
        </w:rPr>
        <w:t xml:space="preserve"> Российской Федерации.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18.10. Ширина водоохранной зоны озера, водохранилища с акваторией менее 0,5 кв. 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18.11.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18.12.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AA422F" w:rsidRDefault="00AA422F" w:rsidP="00434EF1">
      <w:pPr>
        <w:pStyle w:val="ConsPlusNormal"/>
        <w:ind w:firstLine="540"/>
        <w:jc w:val="both"/>
        <w:rPr>
          <w:rFonts w:ascii="Times New Roman" w:hAnsi="Times New Roman" w:cs="Times New Roman"/>
          <w:sz w:val="28"/>
          <w:szCs w:val="28"/>
        </w:rPr>
      </w:pPr>
      <w:bookmarkStart w:id="31" w:name="Par1976"/>
      <w:bookmarkEnd w:id="31"/>
      <w:r>
        <w:rPr>
          <w:rFonts w:ascii="Times New Roman" w:hAnsi="Times New Roman" w:cs="Times New Roman"/>
          <w:sz w:val="28"/>
          <w:szCs w:val="28"/>
        </w:rPr>
        <w:t>18.13. В границах водоохранных зон запрещается: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использование сточных вод в целях регулирования плодородия почв;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осуществление авиационных мер по борьбе с вредными организмами;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 размещение автозаправочных станций, складов горюче-смазочных материалов (за исключением случаев, предусмотренных </w:t>
      </w:r>
      <w:hyperlink r:id="rId119" w:tooltip="&quot;Водный кодекс Российской Федерации&quot; от 03.06.2006 N 74-ФЗ (ред. от 31.10.2016){КонсультантПлюс}" w:history="1">
        <w:r>
          <w:rPr>
            <w:rStyle w:val="Hyperlink"/>
            <w:rFonts w:ascii="Times New Roman" w:hAnsi="Times New Roman"/>
            <w:color w:val="000000"/>
            <w:sz w:val="28"/>
            <w:szCs w:val="28"/>
            <w:u w:val="none"/>
          </w:rPr>
          <w:t>частью 15 статьи 65</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размещение специализированных хранилищ пестицидов и агрохимикатов, применение пестицидов и агрохимикатов;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 сброс сточных, в том числе дренажных, вод;</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 разведка и добыча общераспространенных полезных ископаемых (за исключением случаев, предусмотренных </w:t>
      </w:r>
      <w:hyperlink r:id="rId120" w:tooltip="&quot;Водный кодекс Российской Федерации&quot; от 03.06.2006 N 74-ФЗ (ред. от 31.10.2016){КонсультантПлюс}" w:history="1">
        <w:r>
          <w:rPr>
            <w:rStyle w:val="Hyperlink"/>
            <w:rFonts w:ascii="Times New Roman" w:hAnsi="Times New Roman"/>
            <w:color w:val="000000"/>
            <w:sz w:val="28"/>
            <w:szCs w:val="28"/>
            <w:u w:val="none"/>
          </w:rPr>
          <w:t>частью 15 статьи 65</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Водного кодекса Российской Федерации).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18.15. За пределами территорий населенных пунктов ширина водоохранной зоны озер и ширина их прибрежной защитной полосы устанавливаются от соответствующей береговой линии.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18.16. В границах прибрежных защитных полос наряду с установленными  пунктом 18.13. настоящей главы ограничениями запрещается: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распашка земель;</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размещение отвалов размываемых грунтов;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выпас сельскохозяйственных животных и организация для них летних лагерей, ванн.</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18.17.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18.18. В границах береговых полос запрещается возведение ограждений и иных объектов, затрудняющих или закрывающих доступ в полосу общего пользования.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18.19.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18.20.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18.21. Для источников хозяйственно-питьевого водоснабжения устанавливаются округа (II и III) санитарной охраны </w:t>
      </w:r>
      <w:r>
        <w:rPr>
          <w:rFonts w:ascii="Times New Roman" w:hAnsi="Times New Roman" w:cs="Times New Roman"/>
          <w:color w:val="000000"/>
          <w:sz w:val="28"/>
          <w:szCs w:val="28"/>
        </w:rPr>
        <w:t xml:space="preserve">согласно </w:t>
      </w:r>
      <w:hyperlink r:id="rId121" w:tooltip="Постановление Главного государственного санитарного врача РФ от 14.03.2002 N 10 &quot;О введении в действие Санитарных правил и норм &quot;Зоны санитарной охраны источников водоснабжения и водопроводов питьевого назначения. СанПиН 2.1.4.1110-02&quot; (с изм. от 25.09.20" w:history="1">
        <w:r>
          <w:rPr>
            <w:rStyle w:val="Hyperlink"/>
            <w:rFonts w:ascii="Times New Roman" w:hAnsi="Times New Roman"/>
            <w:color w:val="000000"/>
            <w:sz w:val="28"/>
            <w:szCs w:val="28"/>
            <w:u w:val="none"/>
          </w:rPr>
          <w:t>СанПиН 2.1.4.1110</w:t>
        </w:r>
      </w:hyperlink>
      <w:r>
        <w:rPr>
          <w:rFonts w:ascii="Times New Roman" w:hAnsi="Times New Roman" w:cs="Times New Roman"/>
          <w:color w:val="000000"/>
          <w:sz w:val="28"/>
          <w:szCs w:val="28"/>
        </w:rPr>
        <w:t xml:space="preserve">-02. </w:t>
      </w:r>
      <w:r>
        <w:rPr>
          <w:rFonts w:ascii="Times New Roman" w:hAnsi="Times New Roman" w:cs="Times New Roman"/>
          <w:sz w:val="28"/>
          <w:szCs w:val="28"/>
        </w:rPr>
        <w:t xml:space="preserve">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w:t>
      </w:r>
      <w:hyperlink r:id="rId122" w:tooltip="Постановление Администрации Алтайского края от 31.05.2010 N 233 (ред. от 11.04.2016) &quot;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 w:history="1">
        <w:r>
          <w:rPr>
            <w:rStyle w:val="Hyperlink"/>
            <w:rFonts w:ascii="Times New Roman" w:hAnsi="Times New Roman"/>
            <w:color w:val="000000"/>
            <w:sz w:val="28"/>
            <w:szCs w:val="28"/>
            <w:u w:val="none"/>
          </w:rPr>
          <w:t>Постановлением</w:t>
        </w:r>
      </w:hyperlink>
      <w:r>
        <w:rPr>
          <w:rFonts w:ascii="Times New Roman" w:hAnsi="Times New Roman" w:cs="Times New Roman"/>
          <w:sz w:val="28"/>
          <w:szCs w:val="28"/>
        </w:rPr>
        <w:t xml:space="preserve"> Администрации  Алтайского края от 31.05.2010 № 233.</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18.22. Мероприятия по защите почв от загрязнения и их санирование следует предусматривать в соответствии с требованиями </w:t>
      </w:r>
      <w:hyperlink r:id="rId123" w:tooltip="Постановление Главного государственного санитарного врача РФ от 17.04.2003 N 53 (ред. от 25.04.2007) &quot;О введении в действие СанПиН 2.1.7.1287-03&quot; (вместе с &quot;СанПиН 2.1.7.1287-03. 2.1.7. Почва, очистка населенных мест, бытовые и промышленные отходы, санита" w:history="1">
        <w:r>
          <w:rPr>
            <w:rStyle w:val="Hyperlink"/>
            <w:rFonts w:ascii="Times New Roman" w:hAnsi="Times New Roman"/>
            <w:color w:val="000000"/>
            <w:sz w:val="28"/>
            <w:szCs w:val="28"/>
            <w:u w:val="none"/>
          </w:rPr>
          <w:t>СанПиН 2.1.7.1287</w:t>
        </w:r>
      </w:hyperlink>
      <w:r>
        <w:rPr>
          <w:rFonts w:ascii="Times New Roman" w:hAnsi="Times New Roman" w:cs="Times New Roman"/>
          <w:color w:val="000000"/>
          <w:sz w:val="28"/>
          <w:szCs w:val="28"/>
        </w:rPr>
        <w:t>-03.</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18.23.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18.24.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18.25.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(почвы населенных пунктов, почвы сельскохозяйственного назначения, прочие).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18.26.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19. Защита от шума, вибрации,</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электромагнитных полей, радиации.</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Улучшение микроклимата</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w:t>
      </w:r>
      <w:hyperlink r:id="rId124" w:tooltip="&quot;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quot; (утв. Главным государственным санитарным врачом СССР 23.02.1984 N 2971-84){Консультант" w:history="1">
        <w:r>
          <w:rPr>
            <w:rStyle w:val="Hyperlink"/>
            <w:rFonts w:ascii="Times New Roman" w:hAnsi="Times New Roman"/>
            <w:color w:val="000000"/>
            <w:sz w:val="28"/>
            <w:szCs w:val="28"/>
            <w:u w:val="none"/>
          </w:rPr>
          <w:t>СанПиН 2971</w:t>
        </w:r>
      </w:hyperlink>
      <w:r>
        <w:rPr>
          <w:rFonts w:ascii="Times New Roman" w:hAnsi="Times New Roman" w:cs="Times New Roman"/>
          <w:color w:val="000000"/>
          <w:sz w:val="28"/>
          <w:szCs w:val="28"/>
        </w:rPr>
        <w:t xml:space="preserve"> и </w:t>
      </w:r>
      <w:hyperlink r:id="rId125" w:tooltip="Справочная информация: &quot;Правила устройства электроустановок (ПУЭ)&quot; (Материал подготовлен специалистами КонсультантПлюс){КонсультантПлюс}" w:history="1">
        <w:r>
          <w:rPr>
            <w:rStyle w:val="Hyperlink"/>
            <w:rFonts w:ascii="Times New Roman" w:hAnsi="Times New Roman"/>
            <w:color w:val="000000"/>
            <w:sz w:val="28"/>
            <w:szCs w:val="28"/>
            <w:u w:val="none"/>
          </w:rPr>
          <w:t>ПУЭ</w:t>
        </w:r>
      </w:hyperlink>
      <w:r>
        <w:rPr>
          <w:rFonts w:ascii="Times New Roman" w:hAnsi="Times New Roman" w:cs="Times New Roman"/>
          <w:color w:val="000000"/>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19.5. При планировке и застройке сельских поселений следует учитывать климатические параметры в соответствии с 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w:t>
      </w:r>
      <w:r>
        <w:rPr>
          <w:rFonts w:ascii="Times New Roman" w:hAnsi="Times New Roman" w:cs="Times New Roman"/>
          <w:color w:val="000000"/>
          <w:sz w:val="28"/>
          <w:szCs w:val="28"/>
        </w:rPr>
        <w:t xml:space="preserve">согласно </w:t>
      </w:r>
      <w:hyperlink r:id="rId126" w:tooltip="Постановление Главного государственного санитарного врача РФ от 25.10.2001 N 29 &quot;О введении в действие СанПиН 2.2.1/2.1.1.1076-01&quot; (вместе с &quot;СанПиН 2.2.1/2.1.1.1076-01. 2.2.1/2.1.1. Проектирование, строительство, реконструкция и эксплуатация предприятий," w:history="1">
        <w:r>
          <w:rPr>
            <w:rStyle w:val="Hyperlink"/>
            <w:rFonts w:ascii="Times New Roman" w:hAnsi="Times New Roman"/>
            <w:color w:val="000000"/>
            <w:sz w:val="28"/>
            <w:szCs w:val="28"/>
            <w:u w:val="none"/>
          </w:rPr>
          <w:t>СанПиН 2.2.1/2.1.1.1076</w:t>
        </w:r>
      </w:hyperlink>
      <w:r>
        <w:rPr>
          <w:rFonts w:ascii="Times New Roman" w:hAnsi="Times New Roman" w:cs="Times New Roman"/>
          <w:color w:val="000000"/>
          <w:sz w:val="28"/>
          <w:szCs w:val="28"/>
        </w:rPr>
        <w:t>-01</w:t>
      </w:r>
      <w:r>
        <w:rPr>
          <w:rFonts w:ascii="Times New Roman" w:hAnsi="Times New Roman" w:cs="Times New Roman"/>
          <w:sz w:val="28"/>
          <w:szCs w:val="28"/>
        </w:rPr>
        <w:t xml:space="preserve"> - не менее 2 ч. в день с 22 марта по 22 сентября.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19.9. В жилых домах индивидуальной усадебной жилой застройки, где инсолируются все комнаты, а также при реконструкции или размещении застройки в особо сложных градостроительных условиях (дорогостоящая инженерная подготовка, общественно-деловые зоны) допускается сокращение продолжительности инсоляции на 0,5 ч.</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VI. Расчетные показатели в сфере сохранения</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культурного наследия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20. Охрана объектов культурного наследия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w:t>
      </w:r>
      <w:hyperlink r:id="rId127" w:tooltip="Федеральный закон от 25.06.2002 N 73-ФЗ (ред. от 05.04.2016) &quot;Об объектах культурного наследия (памятниках истории и культуры) народов Российской Федерации&quot;{КонсультантПлюс}" w:history="1">
        <w:r>
          <w:rPr>
            <w:rStyle w:val="Hyperlink"/>
            <w:rFonts w:ascii="Times New Roman" w:hAnsi="Times New Roman"/>
            <w:color w:val="000000"/>
            <w:sz w:val="28"/>
            <w:szCs w:val="28"/>
            <w:u w:val="none"/>
          </w:rPr>
          <w:t>статьей 3</w:t>
        </w:r>
      </w:hyperlink>
      <w:r>
        <w:rPr>
          <w:rFonts w:ascii="Times New Roman" w:hAnsi="Times New Roman" w:cs="Times New Roman"/>
          <w:color w:val="000000"/>
          <w:sz w:val="28"/>
          <w:szCs w:val="28"/>
        </w:rPr>
        <w:t xml:space="preserve"> </w:t>
      </w:r>
      <w:r>
        <w:rPr>
          <w:rFonts w:ascii="Times New Roman" w:hAnsi="Times New Roman" w:cs="Times New Roman"/>
          <w:sz w:val="28"/>
          <w:szCs w:val="28"/>
        </w:rPr>
        <w:t>Федерального закона от 25.06.2002 № 73-ФЗ «Об объектах культурного наследия (памятниках истории и культуры) народов Российской Федерации».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w:t>
      </w:r>
      <w:hyperlink r:id="rId128" w:tooltip="Федеральный закон от 25.06.2002 N 73-ФЗ (ред. от 05.04.2016) &quot;Об объектах культурного наследия (памятниках истории и культуры) народов Российской Федерации&quot;{КонсультантПлюс}" w:history="1">
        <w:r>
          <w:rPr>
            <w:rStyle w:val="Hyperlink"/>
            <w:rFonts w:ascii="Times New Roman" w:hAnsi="Times New Roman"/>
            <w:color w:val="000000"/>
            <w:sz w:val="28"/>
            <w:szCs w:val="28"/>
            <w:u w:val="none"/>
          </w:rPr>
          <w:t>законом</w:t>
        </w:r>
      </w:hyperlink>
      <w:r>
        <w:rPr>
          <w:rFonts w:ascii="Times New Roman" w:hAnsi="Times New Roman" w:cs="Times New Roman"/>
          <w:sz w:val="28"/>
          <w:szCs w:val="28"/>
        </w:rPr>
        <w:t xml:space="preserve"> от 25.06.2002 № 73-ФЗ «Об объектах культурного наследия (памятниках истории и культуры) народов Российской Федерации».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20.4.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w:t>
      </w:r>
      <w:r>
        <w:rPr>
          <w:rFonts w:ascii="Times New Roman" w:hAnsi="Times New Roman" w:cs="Times New Roman"/>
          <w:color w:val="000000"/>
          <w:sz w:val="28"/>
          <w:szCs w:val="28"/>
        </w:rPr>
        <w:t xml:space="preserve">с </w:t>
      </w:r>
      <w:hyperlink r:id="rId129" w:tooltip="Постановление Правительства РФ от 26.04.2008 N 315 (ред. от 31.08.2015) &quot;Об утверждении Положения о зонах охраны объектов культурного наследия (памятников истории и культуры) народов Российской Федерации&quot;------------ Утратил силу или отменен{Консультант" w:history="1">
        <w:r>
          <w:rPr>
            <w:rStyle w:val="Hyperlink"/>
            <w:rFonts w:ascii="Times New Roman" w:hAnsi="Times New Roman"/>
            <w:color w:val="000000"/>
            <w:sz w:val="28"/>
            <w:szCs w:val="28"/>
            <w:u w:val="none"/>
          </w:rPr>
          <w:t>Положением</w:t>
        </w:r>
      </w:hyperlink>
      <w:r>
        <w:rPr>
          <w:rFonts w:ascii="Times New Roman" w:hAnsi="Times New Roman" w:cs="Times New Roman"/>
          <w:sz w:val="28"/>
          <w:szCs w:val="28"/>
        </w:rPr>
        <w:t xml:space="preserve">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а также отдельных объектов культурного наследия и природных ландшафтов.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20.9.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w:t>
      </w:r>
      <w:r>
        <w:rPr>
          <w:rFonts w:ascii="Times New Roman" w:hAnsi="Times New Roman" w:cs="Times New Roman"/>
          <w:color w:val="000000"/>
          <w:sz w:val="28"/>
          <w:szCs w:val="28"/>
        </w:rPr>
        <w:t xml:space="preserve">с </w:t>
      </w:r>
      <w:hyperlink r:id="rId130" w:tooltip="Постановление Главного государственного санитарного врача РФ от 25.10.2001 N 29 &quot;О введении в действие СанПиН 2.2.1/2.1.1.1076-01&quot; (вместе с &quot;СанПиН 2.2.1/2.1.1.1076-01. 2.2.1/2.1.1. Проектирование, строительство, реконструкция и эксплуатация предприятий," w:history="1">
        <w:r>
          <w:rPr>
            <w:rStyle w:val="Hyperlink"/>
            <w:rFonts w:ascii="Times New Roman" w:hAnsi="Times New Roman"/>
            <w:color w:val="000000"/>
            <w:sz w:val="28"/>
            <w:szCs w:val="28"/>
            <w:u w:val="none"/>
          </w:rPr>
          <w:t>СанПиН 2.2.1/2.1.1.1076</w:t>
        </w:r>
      </w:hyperlink>
      <w:r>
        <w:rPr>
          <w:rFonts w:ascii="Times New Roman" w:hAnsi="Times New Roman" w:cs="Times New Roman"/>
          <w:color w:val="000000"/>
          <w:sz w:val="28"/>
          <w:szCs w:val="28"/>
        </w:rPr>
        <w:t>-01 и СП 52.13330.2011.</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20.10. Расстояния от объектов культурного наследия до транспортных и инженерных коммуникаций следует принимать не менее: до сетей водопровода, канализации и теплоснабжения (кроме разводящих) - 15 м, других подземных инженерных сетей - 5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- 5 м; неводонесущих - 2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20.12. При разработке документации по планировке территорий и проектной документации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 1 и диаметром до 40 м - в радиусе 30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 2 и диаметром до 50 м - в радиусе 40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 3 и диаметром до 60 м - в радиусе 50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свыше 3 м - определяется индивидуально в каждом конкретном случае, но не менее 50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для курганных групп - радиусы устанавливаются как для курганов, включая межкурганное пространство, но не менее 50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для городищ, селищ, поселений, грунтовых могильников - в радиусе 50 м от границ памятников.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от оси магистральных газопроводов - 75 - 250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от земляного полотна автодороги - 50 - 90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 разработке карьера от края карьера - 100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 мелиоративных работах от границы орошаемого участка - 100 м.</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VII. Расчетные показатели в сфере защиты</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территорий поселений от неблагоприятных воздействий</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поражающих факторов чрезвычайных ситуаций природного</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и техногенного характера</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bookmarkStart w:id="32" w:name="Par2053"/>
      <w:bookmarkEnd w:id="32"/>
      <w:r>
        <w:rPr>
          <w:rFonts w:ascii="Times New Roman" w:hAnsi="Times New Roman" w:cs="Times New Roman"/>
          <w:sz w:val="28"/>
          <w:szCs w:val="28"/>
        </w:rPr>
        <w:t>21. Защита населения и территорий от воздействия</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поражающих факторов чрезвычайных ситуаций</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разрабатываются органами исполнительной власти Алтайского края, органами местного самоуправления муниципальных образований в пределах их компетенции и полномочий, определенных законодательством Российской Федерации и Алтайского края в соответствии с требованиями </w:t>
      </w:r>
      <w:r>
        <w:rPr>
          <w:rFonts w:ascii="Times New Roman" w:hAnsi="Times New Roman" w:cs="Times New Roman"/>
          <w:color w:val="000000"/>
          <w:sz w:val="28"/>
          <w:szCs w:val="28"/>
        </w:rPr>
        <w:t xml:space="preserve">Федерального </w:t>
      </w:r>
      <w:hyperlink r:id="rId131" w:tooltip="Федеральный закон от 21.12.1994 N 68-ФЗ (ред. от 23.06.2016) &quot;О защите населения и территорий от чрезвычайных ситуаций природного и техногенного характера&quot;{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sz w:val="28"/>
          <w:szCs w:val="28"/>
        </w:rPr>
        <w:t xml:space="preserve"> от 21.12.1994 № 68-ФЗ «О защите населения и территорий от чрезвычайных ситуаций природного и техногенного характера», Федерального </w:t>
      </w:r>
      <w:hyperlink r:id="rId132" w:tooltip="Федеральный закон от 09.01.1996 N 3-ФЗ (ред. от 19.07.2011) &quot;О радиационной безопасности населения&quot;{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от 09.01.1996 № 3-ФЗ «О радиационной безопасности населения», Федерального </w:t>
      </w:r>
      <w:hyperlink r:id="rId133" w:tooltip="Федеральный закон от 12.02.1998 N 28-ФЗ (ред. от 30.12.2015) &quot;О гражданской обороне&quot;{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sz w:val="28"/>
          <w:szCs w:val="28"/>
        </w:rPr>
        <w:t xml:space="preserve"> от 12.02.1998 № 28-ФЗ «О гражданской обороне», </w:t>
      </w:r>
      <w:hyperlink r:id="rId134" w:tooltip="Закон Алтайского края от 17.03.1998 N 15-ЗС (ред. от 04.05.2016) &quot;О защите населения и территории Алтайского края от чрезвычайных ситуаций природного и техногенного характера&quot; (принят АКЗС 16.03.1998){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sz w:val="28"/>
          <w:szCs w:val="28"/>
        </w:rPr>
        <w:t xml:space="preserve">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21.3. Подготовку генерального плана муниципального образования,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ГОСТ Р 55201-2012, СП 11-112-2001</w:t>
      </w:r>
      <w:r>
        <w:rPr>
          <w:rFonts w:ascii="Times New Roman" w:hAnsi="Times New Roman" w:cs="Times New Roman"/>
          <w:color w:val="000000"/>
          <w:sz w:val="28"/>
          <w:szCs w:val="28"/>
        </w:rPr>
        <w:t xml:space="preserve">, </w:t>
      </w:r>
      <w:hyperlink r:id="rId135" w:tooltip="Приказ МЧС РФ N 422, Мининформсвязи РФ N 90, Минкультуры РФ N 376 от 25.07.2006 &quot;Об утверждении Положения о системах оповещения населения&quot; (Зарегистрировано в Минюсте РФ 12.09.2006 N 8232){КонсультантПлюс}" w:history="1">
        <w:r>
          <w:rPr>
            <w:rStyle w:val="Hyperlink"/>
            <w:rFonts w:ascii="Times New Roman" w:hAnsi="Times New Roman"/>
            <w:color w:val="000000"/>
            <w:sz w:val="28"/>
            <w:szCs w:val="28"/>
            <w:u w:val="none"/>
          </w:rPr>
          <w:t>Положения</w:t>
        </w:r>
      </w:hyperlink>
      <w:r>
        <w:rPr>
          <w:rFonts w:ascii="Times New Roman" w:hAnsi="Times New Roman" w:cs="Times New Roman"/>
          <w:sz w:val="28"/>
          <w:szCs w:val="28"/>
        </w:rPr>
        <w:t xml:space="preserve">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 422/90/376, а также глав 23-32 настоящих нормативов.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21.4. Классификация чрезвычайных ситуаций (ЧС) осуществляется в соответствии с </w:t>
      </w:r>
      <w:hyperlink r:id="rId136" w:tooltip="Постановление Правительства РФ от 21.05.2007 N 304 (ред. от 17.05.2011) &quot;О классификации чрезвычайных ситуаций природного и техногенного характера&quot;{КонсультантПлюс}" w:history="1">
        <w:r>
          <w:rPr>
            <w:rStyle w:val="Hyperlink"/>
            <w:rFonts w:ascii="Times New Roman" w:hAnsi="Times New Roman"/>
            <w:color w:val="000000"/>
            <w:sz w:val="28"/>
            <w:szCs w:val="28"/>
            <w:u w:val="none"/>
          </w:rPr>
          <w:t>постановлением</w:t>
        </w:r>
      </w:hyperlink>
      <w:r>
        <w:rPr>
          <w:rFonts w:ascii="Times New Roman" w:hAnsi="Times New Roman" w:cs="Times New Roman"/>
          <w:sz w:val="28"/>
          <w:szCs w:val="28"/>
        </w:rPr>
        <w:t xml:space="preserve"> Правительства Российской Федерации от 21.05.2007 № 304 «О классификации чрезвычайных ситуаций природного и техногенного характера».</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22. Инженерная подготовка и защита территории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 СП 116.13330.2012 и другими) и Общей схемой инженерной защиты территории России от опасных процессов.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22.3. Необходимость инженерной защиты определяется в соответствии с положениями Градостроительного </w:t>
      </w:r>
      <w:hyperlink r:id="rId137" w:tooltip="&quot;Градостроительный кодекс Российской Федерации&quot; от 29.12.2004 N 190-ФЗ (ред. от 03.07.2016) (с изм. и доп., вступ. в силу с 01.09.2016){КонсультантПлюс}" w:history="1">
        <w:r>
          <w:rPr>
            <w:rStyle w:val="Hyperlink"/>
            <w:rFonts w:ascii="Times New Roman" w:hAnsi="Times New Roman"/>
            <w:color w:val="000000"/>
            <w:sz w:val="28"/>
            <w:szCs w:val="28"/>
            <w:u w:val="none"/>
          </w:rPr>
          <w:t>кодекса</w:t>
        </w:r>
      </w:hyperlink>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Российской Федерации </w:t>
      </w:r>
      <w:r>
        <w:rPr>
          <w:rFonts w:ascii="Times New Roman" w:hAnsi="Times New Roman" w:cs="Times New Roman"/>
          <w:color w:val="000000"/>
          <w:sz w:val="28"/>
          <w:szCs w:val="28"/>
        </w:rPr>
        <w:t xml:space="preserve">и </w:t>
      </w:r>
      <w:hyperlink r:id="rId138" w:tooltip="Закон Алтайского края от 29.12.2009 N 120-ЗС (ред. от 05.04.2016) &quot;О градостроительной деятельности на территории Алтайского края&quot; (принят Постановлением АКЗС от 24.12.2009 N 740){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sz w:val="28"/>
          <w:szCs w:val="28"/>
        </w:rPr>
        <w:t xml:space="preserve"> Алтайского края от 29.12.2009 № 120-ЗС «О градостроительной деятельности на территории Алтайского края»: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22.4. При проектировании инженерной защиты следует обеспечивать:</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производство работ способами, не приводящими к появлению новых и (или) интенсификации действующих геологических процессов;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сохранение заповедных зон, ландшафтов, исторических и иных объектов, территорий и зон;</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надлежащее архитектурное оформление сооружений инженерной защиты;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сочетание с мероприятиями по охране окружающей среды;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затопления, подтопления и других факторов природного риска с учетом требований глав 23-28 настоящих нормативов.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22.7. Отвод поверхностных вод следует осуществлять со всего бассейна (стоки в водоемы, водостоки, овраги и т.п.) в соответствии с СП 32.13330.2012, предусматривая в населенных пунктах, как правило, дождевую канализацию.</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22.8. Применение открытых водоотводящих устройств - канав, кюветов, лотков допускается в районах одно-, двухэтажной застройки,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индивидуальной усадебной жилой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bookmarkStart w:id="33" w:name="Par2087"/>
      <w:bookmarkStart w:id="34" w:name="Par2109"/>
      <w:bookmarkEnd w:id="33"/>
      <w:bookmarkEnd w:id="34"/>
      <w:r>
        <w:rPr>
          <w:rFonts w:ascii="Times New Roman" w:hAnsi="Times New Roman" w:cs="Times New Roman"/>
          <w:sz w:val="28"/>
          <w:szCs w:val="28"/>
        </w:rPr>
        <w:t>23. Сооружения и мероприятия для защиты</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от затопления и подтопления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bookmarkStart w:id="35" w:name="Par2112"/>
      <w:bookmarkEnd w:id="35"/>
      <w:r>
        <w:rPr>
          <w:rFonts w:ascii="Times New Roman" w:hAnsi="Times New Roman" w:cs="Times New Roman"/>
          <w:sz w:val="28"/>
          <w:szCs w:val="28"/>
        </w:rPr>
        <w:t>23.1. Зоны затопления определяются в отношении: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территорий, прилегающих к естественным водоемам, затапливаемых при уровнях воды однопроцентной обеспеченности;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23.2. Границы зон затопления, подтопления определяются в соответствии с требованиями </w:t>
      </w:r>
      <w:hyperlink r:id="rId139" w:tooltip="Постановление Правительства РФ от 18.04.2014 N 360 (ред. от 17.05.2016) &quot;Об определении границ зон затопления, подтопления&quot; (вместе с &quot;Правилами определения границ зон затопления, подтопления&quot;){КонсультантПлюс}" w:history="1">
        <w:r>
          <w:rPr>
            <w:rStyle w:val="Hyperlink"/>
            <w:rFonts w:ascii="Times New Roman" w:hAnsi="Times New Roman"/>
            <w:color w:val="000000"/>
            <w:sz w:val="28"/>
            <w:szCs w:val="28"/>
            <w:u w:val="none"/>
          </w:rPr>
          <w:t>постановления</w:t>
        </w:r>
      </w:hyperlink>
      <w:r>
        <w:rPr>
          <w:rFonts w:ascii="Times New Roman" w:hAnsi="Times New Roman" w:cs="Times New Roman"/>
          <w:sz w:val="28"/>
          <w:szCs w:val="28"/>
        </w:rPr>
        <w:t xml:space="preserve"> Правительства Российской Федерации от 18.04.2014 № 360 «Об определении границ зон затопления, подтопления».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23.3. 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23.4. 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23.5. Территории населенных пунктов, расположенных на участках, перечисленных </w:t>
      </w:r>
      <w:r>
        <w:rPr>
          <w:rFonts w:ascii="Times New Roman" w:hAnsi="Times New Roman" w:cs="Times New Roman"/>
          <w:color w:val="000000"/>
          <w:sz w:val="28"/>
          <w:szCs w:val="28"/>
        </w:rPr>
        <w:t xml:space="preserve">в </w:t>
      </w:r>
      <w:hyperlink r:id="rId140" w:anchor="Par2112#Par2112" w:tooltip="24.1. Зоны затопления определяются в отношении:" w:history="1">
        <w:r>
          <w:rPr>
            <w:rStyle w:val="Hyperlink"/>
            <w:rFonts w:ascii="Times New Roman" w:hAnsi="Times New Roman"/>
            <w:color w:val="000000"/>
            <w:sz w:val="28"/>
            <w:szCs w:val="28"/>
            <w:u w:val="none"/>
          </w:rPr>
          <w:t>пункте 23.1</w:t>
        </w:r>
      </w:hyperlink>
      <w:r>
        <w:rPr>
          <w:rFonts w:ascii="Times New Roman" w:hAnsi="Times New Roman" w:cs="Times New Roman"/>
          <w:color w:val="000000"/>
          <w:sz w:val="28"/>
          <w:szCs w:val="28"/>
        </w:rPr>
        <w:t>.</w:t>
      </w:r>
      <w:r>
        <w:rPr>
          <w:rFonts w:ascii="Times New Roman" w:hAnsi="Times New Roman" w:cs="Times New Roman"/>
          <w:sz w:val="28"/>
          <w:szCs w:val="28"/>
        </w:rPr>
        <w:t xml:space="preserve">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23.6. Расчетный уровень горизонта высоких вод определяется с учетом: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 геодезических и картографических материалов, выполненных в соответствии с </w:t>
      </w:r>
      <w:r>
        <w:rPr>
          <w:rFonts w:ascii="Times New Roman" w:hAnsi="Times New Roman" w:cs="Times New Roman"/>
          <w:color w:val="000000"/>
          <w:sz w:val="28"/>
          <w:szCs w:val="28"/>
        </w:rPr>
        <w:t xml:space="preserve">Федеральным </w:t>
      </w:r>
      <w:hyperlink r:id="rId141" w:tooltip="Федеральный закон от 26.12.1995 N 209-ФЗ (ред. от 06.04.2015) &quot;О геодезии и картографии&quot;{КонсультантПлюс}" w:history="1">
        <w:r>
          <w:rPr>
            <w:rStyle w:val="Hyperlink"/>
            <w:rFonts w:ascii="Times New Roman" w:hAnsi="Times New Roman"/>
            <w:color w:val="000000"/>
            <w:sz w:val="28"/>
            <w:szCs w:val="28"/>
            <w:u w:val="none"/>
          </w:rPr>
          <w:t>законом</w:t>
        </w:r>
      </w:hyperlink>
      <w:r>
        <w:rPr>
          <w:rFonts w:ascii="Times New Roman" w:hAnsi="Times New Roman" w:cs="Times New Roman"/>
          <w:sz w:val="28"/>
          <w:szCs w:val="28"/>
        </w:rPr>
        <w:t xml:space="preserve"> «О геодезии и картографии», а также данных обследований по выявлению паводкоопасных зон;</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данных об отметках характерных уровней воды расчетной обеспеченности на пунктах государственной наблюдательной сети;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23.7. За расчетный горизонт высоких вод следует принимать отметку наивысшего уровня воды повторяемостью: один раз в сто лет - для территорий, застроенных или подлежащих застройке жилыми и общественными зданиями; один раз в десять лет - для территорий парков и плоскостных спортивных сооружений.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23.8. В качестве основных средств инженерной защиты от затопления следует предусматривать:</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обвалование территорий со стороны водных объектов;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искусственное повышение рельефа территории до незатопляемых планировочных отметок;</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сооружения инженерной защиты, в том числе: дамбы обвалования, дренажи, дренажные и водосбросные сети и другие.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23.9. 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23.13. Зоны подтопления определяются в отношении территорий, прилегающих к зонам затопления, указанным </w:t>
      </w:r>
      <w:r>
        <w:rPr>
          <w:rFonts w:ascii="Times New Roman" w:hAnsi="Times New Roman" w:cs="Times New Roman"/>
          <w:color w:val="000000"/>
          <w:sz w:val="28"/>
          <w:szCs w:val="28"/>
        </w:rPr>
        <w:t xml:space="preserve">в </w:t>
      </w:r>
      <w:hyperlink r:id="rId142" w:anchor="Par2112#Par2112" w:tooltip="24.1. Зоны затопления определяются в отношении:" w:history="1">
        <w:r>
          <w:rPr>
            <w:rStyle w:val="Hyperlink"/>
            <w:rFonts w:ascii="Times New Roman" w:hAnsi="Times New Roman"/>
            <w:color w:val="000000"/>
            <w:sz w:val="28"/>
            <w:szCs w:val="28"/>
            <w:u w:val="none"/>
          </w:rPr>
          <w:t>пункте 23.1</w:t>
        </w:r>
      </w:hyperlink>
      <w:r>
        <w:rPr>
          <w:rFonts w:ascii="Times New Roman" w:hAnsi="Times New Roman" w:cs="Times New Roman"/>
          <w:color w:val="000000"/>
          <w:sz w:val="28"/>
          <w:szCs w:val="28"/>
        </w:rPr>
        <w:t>.</w:t>
      </w:r>
      <w:r>
        <w:rPr>
          <w:rFonts w:ascii="Times New Roman" w:hAnsi="Times New Roman" w:cs="Times New Roman"/>
          <w:sz w:val="28"/>
          <w:szCs w:val="28"/>
        </w:rPr>
        <w:t xml:space="preserve"> настоящих нормативов, повышение уровня грунтовых вод которых обусловливается подпором грунтовых вод уровнями высоких вод водных объектов.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границах зон подтопления определяются: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территории сильного подтопления - при глубине залегания грунтовых вод менее 0,3 метра;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территории умеренного подтопления - при глубине залегания грунтовых вод от 0,3 - 0,7 до 1,2-2 метров от поверхности;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территории слабого подтопления - при глубине залегания грунтовых вод от 2 до 3 метров.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23.14. Параметры границ подтоплений определяются на основе инженерно-геологических и гидрогеологических изысканий.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23.16. Защита от подтопления должна включать:</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защиту населения от опасных явлений, связанных с пропуском паводковых вод в весенне-осенний период, при половодье;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локальную защиту зданий, сооружений, грунтов оснований и защиту застроенной территории в целом;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водоотведение;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утилизацию (при необходимости очистки) дренажных вод;</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23.17. Защита от подтопления должна обеспечивать:</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нормативные санитарно-гигиенические условия жизнедеятельности населения;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нормативные санитарно-гигиенические, социальные и рекреационные условия защищаемых территорий.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23.18. В зависимости от характера подтопления (локальный - отдельные здания, сооружения и участки; площадной) проектируются локальные и (или) территориальные системы инженерной защиты. 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23.20.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со Схемой территориального планирования муниципального образования Лебяжинский сельсовет Егорьевского района Алтайского края, генеральным планом муниципального образования Лебяжинский сельсовет Егорьевского района Алтайского края, а также с документацией по планировке территории.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населенных пунктов - не менее 2 м; 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 - не менее 1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23.22.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23.23.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23.24. Сооружения и мероприятия для защиты от затопления, подтопления проектируются в соответствии с требованиями СП 116.13330.2012, СП 116.13330.2012.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23.25.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24. Мероприятия для защиты от морозного пучения грунтов</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24.1.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24.2. Мероприятия для защиты от морозного пучения грунтов следует проектировать в соответствии с требованиями СП 116.13330.2012, СП 58.13330.2012.</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bookmarkStart w:id="36" w:name="Par2276"/>
      <w:bookmarkEnd w:id="36"/>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25. Инженерно-технические мероприятия гражданской</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обороны, мероприятия по предупреждению чрезвычайных</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ситуаций природного и техногенного характера</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при градостроительном проектировании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25.1. Обеспечение безопасности людей в чрезвычайных ситуациях (далее - 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25.2. При градостроительном проектировании безопасность людей в ЧС должна обеспечиваться: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25.6. Систему защиты населения в ЧС следует формировать на основе разбивки подконтрольной территории на зоны вероятных ЧС по результатам: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анализа вероятности возникновения на данной территории и на отдельных ее элементах ЧС;</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прогнозирования характера, масштабов и времени существования вероятных ЧС;</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оценки возможных факторов риска, интенсивности формирования и проявления поражающих факторов и воздействий источников ЧС;</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оценки особенностей техносферы и населения подконтрольной территории и ее элементов.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25.8.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25.9. При подготовке градостроительной документации для территорий сельских поселений следует учитывать 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 численность населения планировочных и жилых районов населенных пунктов при проектировании необходимо принимать в соответствии </w:t>
      </w:r>
      <w:r>
        <w:rPr>
          <w:rFonts w:ascii="Times New Roman" w:hAnsi="Times New Roman" w:cs="Times New Roman"/>
          <w:color w:val="000000"/>
          <w:sz w:val="28"/>
          <w:szCs w:val="28"/>
        </w:rPr>
        <w:t xml:space="preserve">с </w:t>
      </w:r>
      <w:hyperlink r:id="rId143" w:anchor="Par228#Par228" w:tooltip="Таблица 4" w:history="1">
        <w:r>
          <w:rPr>
            <w:rStyle w:val="Hyperlink"/>
            <w:rFonts w:ascii="Times New Roman" w:hAnsi="Times New Roman"/>
            <w:color w:val="000000"/>
            <w:sz w:val="28"/>
            <w:szCs w:val="28"/>
            <w:u w:val="none"/>
          </w:rPr>
          <w:t>таблицей 4</w:t>
        </w:r>
      </w:hyperlink>
      <w:r>
        <w:rPr>
          <w:rFonts w:ascii="Times New Roman" w:hAnsi="Times New Roman" w:cs="Times New Roman"/>
          <w:sz w:val="28"/>
          <w:szCs w:val="28"/>
        </w:rPr>
        <w:t>;</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w:t>
      </w:r>
      <w:hyperlink r:id="rId144" w:anchor="Par262#Par262" w:tooltip="Таблица 5" w:history="1">
        <w:r>
          <w:rPr>
            <w:rStyle w:val="Hyperlink"/>
            <w:rFonts w:ascii="Times New Roman" w:hAnsi="Times New Roman"/>
            <w:color w:val="000000"/>
            <w:sz w:val="28"/>
            <w:szCs w:val="28"/>
            <w:u w:val="none"/>
          </w:rPr>
          <w:t>таблице 5</w:t>
        </w:r>
      </w:hyperlink>
      <w:r>
        <w:rPr>
          <w:rFonts w:ascii="Times New Roman" w:hAnsi="Times New Roman" w:cs="Times New Roman"/>
          <w:color w:val="000000"/>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25.10. При подготовке генеральных планов муниципальных образований, отнесенных к группам по гражданской обороне, а также при реконструкции застроенных территорий категорированных городов должны соблюдаться требования СП 11-112-2001.</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bookmarkStart w:id="37" w:name="Par2323"/>
      <w:bookmarkEnd w:id="37"/>
      <w:r>
        <w:rPr>
          <w:rFonts w:ascii="Times New Roman" w:hAnsi="Times New Roman" w:cs="Times New Roman"/>
          <w:sz w:val="28"/>
          <w:szCs w:val="28"/>
        </w:rPr>
        <w:t>26. Пожарная безопасность</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26.1. При разработке документов территориального планирования муниципального образования Лебяжинский сельсовет Егорьевского района Алтайского края должны выполняться требования </w:t>
      </w:r>
      <w:r>
        <w:rPr>
          <w:rFonts w:ascii="Times New Roman" w:hAnsi="Times New Roman" w:cs="Times New Roman"/>
          <w:color w:val="000000"/>
          <w:sz w:val="28"/>
          <w:szCs w:val="28"/>
        </w:rPr>
        <w:t xml:space="preserve">Федерального </w:t>
      </w:r>
      <w:hyperlink r:id="rId145" w:tooltip="Федеральный закон от 22.07.2008 N 123-ФЗ (ред. от 03.07.2016) &quot;Технический регламент о требованиях пожарной безопасности&quot;{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sz w:val="28"/>
          <w:szCs w:val="28"/>
        </w:rPr>
        <w:t xml:space="preserve"> от 22.07.2008 № 123-ФЗ «Технический регламент о требованиях пожарной безопасности», нормативных документов Российской Федерации, Алтайского края устанавливающих нормы пожарной безопасности.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26.2. К водоемам, которые могут быть использованы для целей пожаротушения, следует устраивать подъезды для забора воды с площадками размером не менее 12 x 12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26.3.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w:t>
      </w:r>
      <w:hyperlink r:id="rId146" w:tooltip="Федеральный закон от 22.07.2008 N 123-ФЗ (ред. от 03.07.2016) &quot;Технический регламент о требованиях пожарной безопасности&quot;{КонсультантПлюс}" w:history="1">
        <w:r>
          <w:rPr>
            <w:rStyle w:val="Hyperlink"/>
            <w:rFonts w:ascii="Times New Roman" w:hAnsi="Times New Roman"/>
            <w:color w:val="000000"/>
            <w:sz w:val="28"/>
            <w:szCs w:val="28"/>
            <w:u w:val="none"/>
          </w:rPr>
          <w:t>статьи 68</w:t>
        </w:r>
      </w:hyperlink>
      <w:r>
        <w:rPr>
          <w:rFonts w:ascii="Times New Roman" w:hAnsi="Times New Roman" w:cs="Times New Roman"/>
          <w:sz w:val="28"/>
          <w:szCs w:val="28"/>
        </w:rPr>
        <w:t xml:space="preserve"> Федерального закона от 22.07.2008 № 123-ФЗ «Технический регламент о требованиях пожарной безопасности», СП 8.13130.</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26.4. При разработке документов территориального планирования муниципального образования Лебяжинский сельсовет Егорьевского района Алтайского края необходимо резервировать территорию под размещение пожарных депо с учетом перспективы развития муниципального образования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26.5. Размещение пожарных депо следует осуществлять в соответствии с требованиями </w:t>
      </w:r>
      <w:hyperlink r:id="rId147" w:tooltip="Федеральный закон от 22.07.2008 N 123-ФЗ (ред. от 03.07.2016) &quot;Технический регламент о требованиях пожарной безопасности&quot;{КонсультантПлюс}" w:history="1">
        <w:r>
          <w:rPr>
            <w:rStyle w:val="Hyperlink"/>
            <w:rFonts w:ascii="Times New Roman" w:hAnsi="Times New Roman"/>
            <w:color w:val="000000"/>
            <w:sz w:val="28"/>
            <w:szCs w:val="28"/>
            <w:u w:val="none"/>
          </w:rPr>
          <w:t>главы 17</w:t>
        </w:r>
      </w:hyperlink>
      <w:r>
        <w:rPr>
          <w:rFonts w:ascii="Times New Roman" w:hAnsi="Times New Roman" w:cs="Times New Roman"/>
          <w:sz w:val="28"/>
          <w:szCs w:val="28"/>
        </w:rPr>
        <w:t xml:space="preserve"> Федерального закона от 22.07.2008 № 123-ФЗ «Технический регламент о требованиях пожарной безопасности» и с учетом требований, указанных в </w:t>
      </w:r>
      <w:hyperlink r:id="rId148" w:anchor="Par710#Par710" w:tooltip="Таблица 10" w:history="1">
        <w:r>
          <w:rPr>
            <w:rStyle w:val="Hyperlink"/>
            <w:rFonts w:ascii="Times New Roman" w:hAnsi="Times New Roman"/>
            <w:color w:val="000000"/>
            <w:sz w:val="28"/>
            <w:szCs w:val="28"/>
            <w:u w:val="none"/>
          </w:rPr>
          <w:t>таблице 10</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настоящих нормативов.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26.6.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w:t>
      </w:r>
      <w:r>
        <w:rPr>
          <w:rFonts w:ascii="Times New Roman" w:hAnsi="Times New Roman" w:cs="Times New Roman"/>
          <w:color w:val="000000"/>
          <w:sz w:val="28"/>
          <w:szCs w:val="28"/>
        </w:rPr>
        <w:t xml:space="preserve">с </w:t>
      </w:r>
      <w:hyperlink r:id="rId149" w:tooltip="Приказ МЧС России от 24.04.2013 N 288 (ред. от 18.07.2013) &quot;Об утверждении свода правил СП 4.13130 &quot;Системы противопожарной защиты. Ограничение распространения пожара на объектах защиты. Требования к объемно-планировочным и конструктивным решениям&quot; (вмест" w:history="1">
        <w:r>
          <w:rPr>
            <w:rStyle w:val="Hyperlink"/>
            <w:rFonts w:ascii="Times New Roman" w:hAnsi="Times New Roman"/>
            <w:color w:val="000000"/>
            <w:sz w:val="28"/>
            <w:szCs w:val="28"/>
            <w:u w:val="none"/>
          </w:rPr>
          <w:t>СП 4.13130.2013</w:t>
        </w:r>
      </w:hyperlink>
      <w:r>
        <w:rPr>
          <w:rFonts w:ascii="Times New Roman" w:hAnsi="Times New Roman" w:cs="Times New Roman"/>
          <w:color w:val="000000"/>
          <w:sz w:val="28"/>
          <w:szCs w:val="28"/>
        </w:rPr>
        <w:t>.</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bookmarkStart w:id="38" w:name="Par2332"/>
      <w:bookmarkEnd w:id="38"/>
      <w:r>
        <w:rPr>
          <w:rFonts w:ascii="Times New Roman" w:hAnsi="Times New Roman" w:cs="Times New Roman"/>
          <w:sz w:val="28"/>
          <w:szCs w:val="28"/>
        </w:rPr>
        <w:t>27. Сейсмическое районирование территории муниципального образования Лебяжинский сельсовет Егорьевского района Алтайского края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27.1. Для определения интенсивности сейсмического воздействия в баллах (сейсмичность) для района строительства следует руководствоваться комплектом карт общего сейсмического районирования территории Российской Федерации - ОСР-97, утвержденных Российской академией наук и прилагаемым к настоящей главе населенных пунктов муниципального образования Лебяжинский сельсовет Егорьевского района Алтайского края с указанием сейсмичности района строительства в баллах MSK-64 по картам ОСР-97 А, В, С для участков со средними по сейсмическим свойствам </w:t>
      </w:r>
      <w:r>
        <w:rPr>
          <w:rFonts w:ascii="Times New Roman" w:hAnsi="Times New Roman" w:cs="Times New Roman"/>
          <w:color w:val="000000"/>
          <w:sz w:val="28"/>
          <w:szCs w:val="28"/>
        </w:rPr>
        <w:t>грунтами (</w:t>
      </w:r>
      <w:hyperlink r:id="rId150" w:anchor="Par6821#Par6821" w:tooltip="СЕЙСМИЧЕСКОЕ РАЙОНИРОВАНИЕ" w:history="1">
        <w:r>
          <w:rPr>
            <w:rStyle w:val="Hyperlink"/>
            <w:rFonts w:ascii="Times New Roman" w:hAnsi="Times New Roman"/>
            <w:color w:val="000000"/>
            <w:sz w:val="28"/>
            <w:szCs w:val="28"/>
            <w:u w:val="none"/>
          </w:rPr>
          <w:t>Приложения Р</w:t>
        </w:r>
      </w:hyperlink>
      <w:r>
        <w:rPr>
          <w:rFonts w:ascii="Times New Roman" w:hAnsi="Times New Roman" w:cs="Times New Roman"/>
          <w:color w:val="000000"/>
          <w:sz w:val="28"/>
          <w:szCs w:val="28"/>
        </w:rPr>
        <w:t xml:space="preserve">, </w:t>
      </w:r>
      <w:hyperlink r:id="rId151" w:anchor="Par6884#Par6884" w:tooltip="СПИСОК" w:history="1">
        <w:r>
          <w:rPr>
            <w:rStyle w:val="Hyperlink"/>
            <w:rFonts w:ascii="Times New Roman" w:hAnsi="Times New Roman"/>
            <w:color w:val="000000"/>
            <w:sz w:val="28"/>
            <w:szCs w:val="28"/>
            <w:u w:val="none"/>
          </w:rPr>
          <w:t>С</w:t>
        </w:r>
      </w:hyperlink>
      <w:r>
        <w:rPr>
          <w:rFonts w:ascii="Times New Roman" w:hAnsi="Times New Roman" w:cs="Times New Roman"/>
          <w:color w:val="000000"/>
          <w:sz w:val="28"/>
          <w:szCs w:val="28"/>
        </w:rPr>
        <w:t>).</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27.2. Идентификация зданий и сооружений должна проводиться в соответствии с законодательством Российской Федерации.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27.3. Решение о выборе карты при проектировании конкретного объекта принимается заказчиком по представлению генерального проектировщика. При этом под зоны жилой застройки следует использовать земельные участки с меньшей сейсмичностью.</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27.4.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bookmarkStart w:id="39" w:name="Par2343"/>
      <w:bookmarkEnd w:id="39"/>
      <w:r>
        <w:rPr>
          <w:rFonts w:ascii="Times New Roman" w:hAnsi="Times New Roman" w:cs="Times New Roman"/>
          <w:sz w:val="28"/>
          <w:szCs w:val="28"/>
        </w:rPr>
        <w:t>28. Обеспечение антитеррористической</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защищенности зданий и сооружений</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28.1. При размещении и проектировании объектов социально-культурного, коммунально-бытового и производственного назначения необходимо обеспечить антитеррористическую защищенность таких объектов в соответствии с </w:t>
      </w:r>
      <w:r>
        <w:rPr>
          <w:rFonts w:ascii="Times New Roman" w:hAnsi="Times New Roman" w:cs="Times New Roman"/>
          <w:color w:val="000000"/>
          <w:sz w:val="28"/>
          <w:szCs w:val="28"/>
        </w:rPr>
        <w:t xml:space="preserve">требованиями </w:t>
      </w:r>
      <w:hyperlink r:id="rId152" w:tooltip="Приказ Минрегиона России от 05.07.2011 N 320 &quot;Об утверждении свода правил &quot;Обеспечение антитеррористической защищенности зданий и сооружений. Общие требования проектирования&quot; (вместе с &quot;СП 132.13330.2011. Свод правил. Обеспечение антитеррористической защи" w:history="1">
        <w:r>
          <w:rPr>
            <w:rStyle w:val="Hyperlink"/>
            <w:rFonts w:ascii="Times New Roman" w:hAnsi="Times New Roman"/>
            <w:color w:val="000000"/>
            <w:sz w:val="28"/>
            <w:szCs w:val="28"/>
            <w:u w:val="none"/>
          </w:rPr>
          <w:t>СП 132.13330</w:t>
        </w:r>
      </w:hyperlink>
      <w:r>
        <w:rPr>
          <w:rFonts w:ascii="Times New Roman" w:hAnsi="Times New Roman" w:cs="Times New Roman"/>
          <w:color w:val="000000"/>
          <w:sz w:val="28"/>
          <w:szCs w:val="28"/>
        </w:rPr>
        <w:t>.2011.</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28.2. К объектам социально-культурного, коммунально-бытового назначения относятся здания и помещения, указанные в </w:t>
      </w:r>
      <w:hyperlink r:id="rId153" w:anchor="Par337#Par337" w:tooltip="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 w:history="1">
        <w:r>
          <w:rPr>
            <w:rStyle w:val="Hyperlink"/>
            <w:rFonts w:ascii="Times New Roman" w:hAnsi="Times New Roman"/>
            <w:color w:val="000000"/>
            <w:sz w:val="28"/>
            <w:szCs w:val="28"/>
            <w:u w:val="none"/>
          </w:rPr>
          <w:t>подпунктах 1</w:t>
        </w:r>
      </w:hyperlink>
      <w:r>
        <w:rPr>
          <w:rFonts w:ascii="Times New Roman" w:hAnsi="Times New Roman" w:cs="Times New Roman"/>
          <w:color w:val="000000"/>
          <w:sz w:val="28"/>
          <w:szCs w:val="28"/>
        </w:rPr>
        <w:t xml:space="preserve"> - </w:t>
      </w:r>
      <w:hyperlink r:id="rId154" w:anchor="Par343#Par343" w:tooltip="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 w:history="1">
        <w:r>
          <w:rPr>
            <w:rStyle w:val="Hyperlink"/>
            <w:rFonts w:ascii="Times New Roman" w:hAnsi="Times New Roman"/>
            <w:color w:val="000000"/>
            <w:sz w:val="28"/>
            <w:szCs w:val="28"/>
            <w:u w:val="none"/>
          </w:rPr>
          <w:t>7 пункта 3.1 главы 3</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нормативов. К производственным объектам относятся здания, используемые для производства и сборочных работ, складские здания.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VIII. Расчетные показатели доступной среды</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для маломобильных групп населения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29. Обеспечение доступности объектов социальной</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и транспортной инфраструктуры для маломобильных</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групп населения</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29.1. При проектировании и реконструкции объектов социальной инфраструктуры следует обеспечивать доступность объектов социальной инфраструктуры для инвалидов и маломобильных групп населения в соответствии с требованиями </w:t>
      </w:r>
      <w:r>
        <w:rPr>
          <w:rFonts w:ascii="Times New Roman" w:hAnsi="Times New Roman" w:cs="Times New Roman"/>
          <w:color w:val="000000"/>
          <w:sz w:val="28"/>
          <w:szCs w:val="28"/>
        </w:rPr>
        <w:t xml:space="preserve">Федерального </w:t>
      </w:r>
      <w:hyperlink r:id="rId155" w:tooltip="Федеральный закон от 24.11.1995 N 181-ФЗ (ред. от 29.12.2015) &quot;О социальной защите инвалидов в Российской Федерации&quot;{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sz w:val="28"/>
          <w:szCs w:val="28"/>
        </w:rPr>
        <w:t xml:space="preserve"> от 24.11.1995 № 181-ФЗ «О социальной защите инвалидов в Российской Федерации», СП 59.13330.2012, СП 35-101-2001, СП 35-102-2001, СП 31-102-99, СП 35-103-2001, ВСН 62-91*, РДС 35-201-99.</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жилые и административные здания и сооружения;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объекты культуры и культурно-зрелищные сооружения (библиотеки, музеи, места отправления религиозных обрядов и т.д.);</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объекты и организации образования и науки, здравоохранения и социальной защиты населения;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объекты торговли, общественного питания и бытового обслуживания населения, финансово-банковские учреждения, страховые организации;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гостиницы, отели, иные места временного проживания;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 здания и сооружения, предназначенные для работы с пользователями услугами связи, в том числе места оказания услуг связи и их оплаты на объектах связи;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 объекты и сооружения транспортного обслуживания населения, в том числе автовокзалы, другие объекты автомобильного транспорта, обслуживающие население;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 станции и остановки всех видов транспорта; производственные объекты, объекты малого бизнеса и другие места приложения труда;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 тротуары, переходы улиц, дороги;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 прилегающие к вышеперечисленным зданиям и сооружениям территории и площади.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беспрепятственное передвижение по участку к зданию или по территории предприятия, комплекса сооружений;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досягаемость мест целевого посещения и беспрепятственность перемещения внутри зданий и сооружений;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безопасность путей движения (в том числе эвакуационных), а также мест проживания, обслуживания и приложения труда;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информационную поддержку маломобильных групп населения на всех путях движения.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29.7. Ширина пешеходного пути через островок безопасности в местах перехода через проезжую часть улиц должна быть не менее 3 м, длина - не менее 2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29.8. Опасные для инвалидов участки и пространства следует огораживать бортовым камнем высотой не менее 0,1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29.9. Объекты социальной инфраструктуры должны оснащаться следующими специальными приспособлениями и оборудованием: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телефонами-автоматами или иными средствами связи, доступными для инвалидов;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санитарно-гигиеническими помещениями;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пандусами и поручнями у лестниц при входах в здания;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пологими спусками у тротуаров в местах наземных переходов улиц, дорог, остановок транспорта общего пользования;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 специальными указателями маршрутов движения инвалидов по территории вокзалов, парков и других рекреационных зон;</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 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 пандусами при входах в здания.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29.10. Размещение специализированных организаций,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29.11.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29.13.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w:t>
      </w:r>
      <w:hyperlink r:id="rId156"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Hyperlink"/>
            <w:rFonts w:ascii="Times New Roman" w:hAnsi="Times New Roman"/>
            <w:color w:val="000000"/>
            <w:sz w:val="28"/>
            <w:szCs w:val="28"/>
            <w:u w:val="none"/>
          </w:rPr>
          <w:t>Правил</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мест.</w:t>
      </w:r>
    </w:p>
    <w:p w:rsidR="00AA422F" w:rsidRDefault="00AA422F" w:rsidP="00434EF1">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Материалы по обоснованию расчетных показателей</w:t>
      </w: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Перечень законодательных актов Российской Федерации</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Воздушный </w:t>
      </w:r>
      <w:hyperlink r:id="rId157" w:tooltip="&quot;Воздушный кодекс Российской Федерации&quot; от 19.03.1997 N 60-ФЗ (ред. от 06.07.2016){КонсультантПлюс}" w:history="1">
        <w:r>
          <w:rPr>
            <w:rStyle w:val="Hyperlink"/>
            <w:rFonts w:ascii="Times New Roman" w:hAnsi="Times New Roman"/>
            <w:color w:val="000000"/>
            <w:sz w:val="28"/>
            <w:szCs w:val="28"/>
            <w:u w:val="none"/>
          </w:rPr>
          <w:t>кодекс</w:t>
        </w:r>
      </w:hyperlink>
      <w:r>
        <w:rPr>
          <w:rFonts w:ascii="Times New Roman" w:hAnsi="Times New Roman" w:cs="Times New Roman"/>
          <w:color w:val="000000"/>
          <w:sz w:val="28"/>
          <w:szCs w:val="28"/>
        </w:rPr>
        <w:t xml:space="preserve"> Российской Федерации от 19.03.1997 № 60-ФЗ;</w:t>
      </w:r>
    </w:p>
    <w:p w:rsidR="00AA422F" w:rsidRDefault="00AA422F" w:rsidP="00434EF1">
      <w:pPr>
        <w:pStyle w:val="ConsPlusNormal"/>
        <w:ind w:firstLine="540"/>
        <w:jc w:val="both"/>
        <w:rPr>
          <w:rFonts w:ascii="Times New Roman" w:hAnsi="Times New Roman" w:cs="Times New Roman"/>
          <w:color w:val="000000"/>
          <w:sz w:val="28"/>
          <w:szCs w:val="28"/>
        </w:rPr>
      </w:pPr>
      <w:hyperlink r:id="rId158" w:tooltip="&quot;Кодекс внутреннего водного транспорта Российской Федерации&quot; от 07.03.2001 N 24-ФЗ (ред. от 03.07.2016){КонсультантПлюс}" w:history="1">
        <w:r>
          <w:rPr>
            <w:rStyle w:val="Hyperlink"/>
            <w:rFonts w:ascii="Times New Roman" w:hAnsi="Times New Roman"/>
            <w:color w:val="000000"/>
            <w:sz w:val="28"/>
            <w:szCs w:val="28"/>
            <w:u w:val="none"/>
          </w:rPr>
          <w:t>Кодекс</w:t>
        </w:r>
      </w:hyperlink>
      <w:r>
        <w:rPr>
          <w:rFonts w:ascii="Times New Roman" w:hAnsi="Times New Roman" w:cs="Times New Roman"/>
          <w:color w:val="000000"/>
          <w:sz w:val="28"/>
          <w:szCs w:val="28"/>
        </w:rPr>
        <w:t xml:space="preserve"> внутреннего водного транспорта Российской Федерации от 07.03.2001 № 24-ФЗ;</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Земельный </w:t>
      </w:r>
      <w:hyperlink r:id="rId159" w:tooltip="&quot;Земельный кодекс Российской Федерации&quot; от 25.10.2001 N 136-ФЗ (ред. от 03.07.2016) (с изм. и доп., вступ. в силу с 01.09.2016){КонсультантПлюс}" w:history="1">
        <w:r>
          <w:rPr>
            <w:rStyle w:val="Hyperlink"/>
            <w:rFonts w:ascii="Times New Roman" w:hAnsi="Times New Roman"/>
            <w:color w:val="000000"/>
            <w:sz w:val="28"/>
            <w:szCs w:val="28"/>
            <w:u w:val="none"/>
          </w:rPr>
          <w:t>кодекс</w:t>
        </w:r>
      </w:hyperlink>
      <w:r>
        <w:rPr>
          <w:rFonts w:ascii="Times New Roman" w:hAnsi="Times New Roman" w:cs="Times New Roman"/>
          <w:color w:val="000000"/>
          <w:sz w:val="28"/>
          <w:szCs w:val="28"/>
        </w:rPr>
        <w:t xml:space="preserve"> Российской Федерации от 25.10.2001 № 136-ФЗ;</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Жилищный </w:t>
      </w:r>
      <w:hyperlink r:id="rId160" w:tooltip="&quot;Жилищный кодекс Российской Федерации&quot; от 29.12.2004 N 188-ФЗ (ред. от 06.07.2016){КонсультантПлюс}" w:history="1">
        <w:r>
          <w:rPr>
            <w:rStyle w:val="Hyperlink"/>
            <w:rFonts w:ascii="Times New Roman" w:hAnsi="Times New Roman"/>
            <w:color w:val="000000"/>
            <w:sz w:val="28"/>
            <w:szCs w:val="28"/>
            <w:u w:val="none"/>
          </w:rPr>
          <w:t>кодекс</w:t>
        </w:r>
      </w:hyperlink>
      <w:r>
        <w:rPr>
          <w:rFonts w:ascii="Times New Roman" w:hAnsi="Times New Roman" w:cs="Times New Roman"/>
          <w:color w:val="000000"/>
          <w:sz w:val="28"/>
          <w:szCs w:val="28"/>
        </w:rPr>
        <w:t xml:space="preserve"> Российской Федерации от 29.12.2004 № 188-ФЗ;</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Градостроительный </w:t>
      </w:r>
      <w:hyperlink r:id="rId161" w:tooltip="&quot;Градостроительный кодекс Российской Федерации&quot; от 29.12.2004 N 190-ФЗ (ред. от 03.07.2016) (с изм. и доп., вступ. в силу с 01.09.2016){КонсультантПлюс}" w:history="1">
        <w:r>
          <w:rPr>
            <w:rStyle w:val="Hyperlink"/>
            <w:rFonts w:ascii="Times New Roman" w:hAnsi="Times New Roman"/>
            <w:color w:val="000000"/>
            <w:sz w:val="28"/>
            <w:szCs w:val="28"/>
            <w:u w:val="none"/>
          </w:rPr>
          <w:t>кодекс</w:t>
        </w:r>
      </w:hyperlink>
      <w:r>
        <w:rPr>
          <w:rFonts w:ascii="Times New Roman" w:hAnsi="Times New Roman" w:cs="Times New Roman"/>
          <w:color w:val="000000"/>
          <w:sz w:val="28"/>
          <w:szCs w:val="28"/>
        </w:rPr>
        <w:t xml:space="preserve"> Российской Федерации от 29.12.2004 № 190-ФЗ;</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Водный </w:t>
      </w:r>
      <w:hyperlink r:id="rId162" w:tooltip="&quot;Водный кодекс Российской Федерации&quot; от 03.06.2006 N 74-ФЗ (ред. от 31.10.2016){КонсультантПлюс}" w:history="1">
        <w:r>
          <w:rPr>
            <w:rStyle w:val="Hyperlink"/>
            <w:rFonts w:ascii="Times New Roman" w:hAnsi="Times New Roman"/>
            <w:color w:val="000000"/>
            <w:sz w:val="28"/>
            <w:szCs w:val="28"/>
            <w:u w:val="none"/>
          </w:rPr>
          <w:t>кодекс</w:t>
        </w:r>
      </w:hyperlink>
      <w:r>
        <w:rPr>
          <w:rFonts w:ascii="Times New Roman" w:hAnsi="Times New Roman" w:cs="Times New Roman"/>
          <w:color w:val="000000"/>
          <w:sz w:val="28"/>
          <w:szCs w:val="28"/>
        </w:rPr>
        <w:t xml:space="preserve"> Российской Федерации от 03.06.2006 № 74-ФЗ;</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Лесной </w:t>
      </w:r>
      <w:hyperlink r:id="rId163" w:tooltip="&quot;Лесной кодекс Российской Федерации&quot; от 04.12.2006 N 200-ФЗ (ред. от 03.07.2016) (с изм. и доп., вступ. в силу с 01.10.2016){КонсультантПлюс}" w:history="1">
        <w:r>
          <w:rPr>
            <w:rStyle w:val="Hyperlink"/>
            <w:rFonts w:ascii="Times New Roman" w:hAnsi="Times New Roman"/>
            <w:color w:val="000000"/>
            <w:sz w:val="28"/>
            <w:szCs w:val="28"/>
            <w:u w:val="none"/>
          </w:rPr>
          <w:t>кодекс</w:t>
        </w:r>
      </w:hyperlink>
      <w:r>
        <w:rPr>
          <w:rFonts w:ascii="Times New Roman" w:hAnsi="Times New Roman" w:cs="Times New Roman"/>
          <w:color w:val="000000"/>
          <w:sz w:val="28"/>
          <w:szCs w:val="28"/>
        </w:rPr>
        <w:t xml:space="preserve"> Российской Федерации от 04.12.2006 № 200-ФЗ;</w:t>
      </w:r>
    </w:p>
    <w:p w:rsidR="00AA422F" w:rsidRDefault="00AA422F" w:rsidP="00434EF1">
      <w:pPr>
        <w:pStyle w:val="ConsPlusNormal"/>
        <w:ind w:firstLine="540"/>
        <w:jc w:val="both"/>
        <w:rPr>
          <w:rFonts w:ascii="Times New Roman" w:hAnsi="Times New Roman" w:cs="Times New Roman"/>
          <w:color w:val="000000"/>
          <w:sz w:val="28"/>
          <w:szCs w:val="28"/>
        </w:rPr>
      </w:pPr>
      <w:hyperlink r:id="rId164" w:tooltip="Закон РФ от 21.02.1992 N 2395-1 (ред. от 03.07.2016) &quot;О недрах&quot; (с изм. и доп., вступ. в силу с 03.10.2016){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Российской Федерации от 21.02.1992 №  2395-1 «О недрах»;</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65" w:tooltip="Федеральный закон от 21.12.1994 N 68-ФЗ (ред. от 23.06.2016) &quot;О защите населения и территорий от чрезвычайных ситуаций природного и техногенного характера&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21.12.1994 № 68-ФЗ «О защите населения и территорий от чрезвычайных ситуаций природного и техногенного характера»;</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66" w:tooltip="Федеральный закон от 23.02.1995 N 26-ФЗ (ред. от 28.12.2013) &quot;О природных лечебных ресурсах, лечебно-оздоровительных местностях и курортах&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23.02.1995 № 26-ФЗ «О природных лечебных ресурсах, лечебно-оздоровительных местностях и курортах»;</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67" w:tooltip="Федеральный закон от 14.03.1995 N 33-ФЗ (ред. от 03.07.2016) &quot;Об особо охраняемых природных территориях&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14.03.1995 № 33-ФЗ «Об особо охраняемых природных территориях2;</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68" w:tooltip="Федеральный закон от 24.11.1995 N 181-ФЗ (ред. от 29.12.2015) &quot;О социальной защите инвалидов в Российской Федерации&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24.11.1995 № 181-ФЗ «О социальной защите инвалидов в Российской Федерации»;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69" w:tooltip="Федеральный закон от 10.12.1995 N 196-ФЗ (ред. от 03.07.2016) &quot;О безопасности дорожного движения&quot; (с изм. и доп., вступ. в силу с 15.07.2016){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10.12.1995 № 196-ФЗ «О безопасности дорожного движения»;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70" w:tooltip="Федеральный закон от 09.01.1996 N 3-ФЗ (ред. от 19.07.2011) &quot;О радиационной безопасности населения&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09.01.1996 № 3-ФЗ «О радиационной безопасности населения»;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71" w:tooltip="Федеральный закон от 12.01.1996 N 8-ФЗ (ред. от 03.07.2016) &quot;О погребении и похоронном деле&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12.01.1996 № 8-ФЗ «О погребении и похоронном деле»;</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72" w:tooltip="Федеральный закон от 21.07.1997 N 116-ФЗ (ред. от 02.06.2016) &quot;О промышленной безопасности опасных производственных объектов&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21.07.1997 № 116-ФЗ «О промышленной безопасности опасных производственных объектов»;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73" w:tooltip="Федеральный закон от 12.02.1998 N 28-ФЗ (ред. от 30.12.2015) &quot;О гражданской обороне&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12.02.1998 № 28-ФЗ «О гражданской обороне»;</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74" w:tooltip="Федеральный закон от 15.04.1998 N 66-ФЗ (ред. от 03.07.2016) &quot;О садоводческих, огороднических и дачных некоммерческих объединениях граждан&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15.04.1998 № 66-ФЗ «О садоводческих, огороднических и дачных некоммерческих объединениях граждан»;</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75" w:tooltip="Федеральный закон от 24.06.1998 N 89-ФЗ (ред. от 03.07.2016) &quot;Об отходах производства и потребления&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24.06.1998 № 89-ФЗ «Об отходах производства и потребления»;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76" w:tooltip="Федеральный закон от 30.03.1999 N 52-ФЗ (ред. от 03.07.2016) &quot;О санитарно-эпидемиологическом благополучии населения&quot; (с изм. и доп., вступ. в силу с 04.07.2016){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30.03.1999 № 52-ФЗ «О санитарно-эпидемиологическом благополучии населения»;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77" w:tooltip="Федеральный закон от 31.03.1999 N 69-ФЗ (ред. от 03.07.2016) &quot;О газоснабжении в Российской Федерации&quot;------------ Недействующая редакция{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31.03.1999 № 69-ФЗ «О газоснабжении в Российской Федерации»;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78" w:tooltip="Федеральный закон от 04.05.1999 N 96-ФЗ (ред. от 13.07.2015) &quot;Об охране атмосферного воздуха&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04.05.1999 № 96-ФЗ «Об охране атмосферного воздуха»;</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79" w:tooltip="Федеральный закон от 10.01.2002 N 7-ФЗ (ред. от 03.07.2016) &quot;Об охране окружающей среды&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10.01.2002 № 7-ФЗ «Об охране окружающей среды»;</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80" w:tooltip="Федеральный закон от 25.06.2002 N 73-ФЗ (ред. от 05.04.2016) &quot;Об объектах культурного наследия (памятниках истории и культуры) народов Российской Федерации&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25.06.2002 № 73-ФЗ «Об объектах культурного наследия (памятниках истории и культуры) народов Российской Федерации»;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81" w:tooltip="Федеральный закон от 27.12.2002 N 184-ФЗ (ред. от 05.04.2016) &quot;О техническом регулировании&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27.12.2002 № 184-ФЗ «О техническом регулировании»;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82" w:tooltip="Федеральный закон от 06.10.2003 N 131-ФЗ (ред. от 03.07.2016) &quot;Об общих принципах организации местного самоуправления в Российской Федерации&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06.10.2003 № 131-ФЗ «Об общих принципах организации местного самоуправления в Российской Федерации»;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83" w:tooltip="Федеральный закон от 21.12.2004 N 172-ФЗ (ред. от 01.05.2016) &quot;О переводе земель или земельных участков из одной категории в другую&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21.12.2004 № 172-ФЗ «О переводе земель или земельных участков из одной категории в другую»;</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84" w:tooltip="Федеральный закон от 30.12.2004 N 210-ФЗ (ред. от 29.12.2014) &quot;Об основах регулирования тарифов организаций коммунального комплекса&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30.12.2004 № 210-ФЗ «Об основах регулирования тарифов организаций коммунального комплекса»;</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85"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30.12.2006 № 271-ФЗ «О розничных рынках и о внесении изменений в Трудовой кодекс Российской Федерации»;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86"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87" w:tooltip="Федеральный закон от 22.07.2008 N 123-ФЗ (ред. от 03.07.2016) &quot;Технический регламент о требованиях пожарной безопасности&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22.07.2008 № 123-ФЗ «Технический регламент о требованиях пожарной безопасности»;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88"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28.12.2009 № 381-ФЗ «Об основах государственного регулирования торговой деятельности в Российской Федерации»;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w:t>
      </w:r>
      <w:hyperlink r:id="rId189" w:tooltip="Федеральный закон от 30.12.2009 N 384-ФЗ (ред. от 02.07.2013) &quot;Технический регламент о безопасности зданий и сооружений&quot;{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от 30.12.2009 № 384-ФЗ «Технический регламент о безопасности зданий и сооружений».</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Подзаконные правовые акты Российской Федерации</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Указ Президента Российской Федерации от 02.10.1992 № 1156 «О мерах по формированию доступной для инвалидов среды жизнедеятельности»;</w:t>
      </w:r>
    </w:p>
    <w:p w:rsidR="00AA422F" w:rsidRDefault="00AA422F" w:rsidP="00434EF1">
      <w:pPr>
        <w:pStyle w:val="ConsPlusNormal"/>
        <w:ind w:firstLine="540"/>
        <w:jc w:val="both"/>
        <w:rPr>
          <w:rFonts w:ascii="Times New Roman" w:hAnsi="Times New Roman" w:cs="Times New Roman"/>
          <w:color w:val="000000"/>
          <w:sz w:val="28"/>
          <w:szCs w:val="28"/>
        </w:rPr>
      </w:pPr>
      <w:hyperlink r:id="rId190" w:tooltip="Указ Президента РФ от 30.11.1992 N 1487 (ред. от 17.05.2007) &quot;Об особо ценных объектах культурного наследия народов Российской Федерации&quot;{КонсультантПлюс}" w:history="1">
        <w:r>
          <w:rPr>
            <w:rStyle w:val="Hyperlink"/>
            <w:rFonts w:ascii="Times New Roman" w:hAnsi="Times New Roman"/>
            <w:color w:val="000000"/>
            <w:sz w:val="28"/>
            <w:szCs w:val="28"/>
            <w:u w:val="none"/>
          </w:rPr>
          <w:t>Указ</w:t>
        </w:r>
      </w:hyperlink>
      <w:r>
        <w:rPr>
          <w:rFonts w:ascii="Times New Roman" w:hAnsi="Times New Roman" w:cs="Times New Roman"/>
          <w:color w:val="000000"/>
          <w:sz w:val="28"/>
          <w:szCs w:val="28"/>
        </w:rPr>
        <w:t xml:space="preserve"> Президента Российской Федерации от 30.11.1992 № 1487 «Об особо ценных объектах культурного наследия народов Российской Федерации»;</w:t>
      </w:r>
    </w:p>
    <w:p w:rsidR="00AA422F" w:rsidRDefault="00AA422F" w:rsidP="00434EF1">
      <w:pPr>
        <w:pStyle w:val="ConsPlusNormal"/>
        <w:ind w:firstLine="540"/>
        <w:jc w:val="both"/>
        <w:rPr>
          <w:rFonts w:ascii="Times New Roman" w:hAnsi="Times New Roman" w:cs="Times New Roman"/>
          <w:color w:val="000000"/>
          <w:sz w:val="28"/>
          <w:szCs w:val="28"/>
        </w:rPr>
      </w:pPr>
      <w:hyperlink r:id="rId191" w:tooltip="Постановление Правительства РФ от 13.08.1996 N 997 (ред. от 13.03.2008) &quo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AA422F" w:rsidRDefault="00AA422F" w:rsidP="00434EF1">
      <w:pPr>
        <w:pStyle w:val="ConsPlusNormal"/>
        <w:ind w:firstLine="540"/>
        <w:jc w:val="both"/>
        <w:rPr>
          <w:rFonts w:ascii="Times New Roman" w:hAnsi="Times New Roman" w:cs="Times New Roman"/>
          <w:color w:val="000000"/>
          <w:sz w:val="28"/>
          <w:szCs w:val="28"/>
        </w:rPr>
      </w:pPr>
      <w:hyperlink r:id="rId192" w:tooltip="Постановление Правительства РФ от 07.12.1996 N 1449 &quot;О мерах по обеспечению беспрепятственного доступа инвалидов к информации и объектам социальной инфраструктуры&quot;{КонсультантПлюс}"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AA422F" w:rsidRDefault="00AA422F" w:rsidP="00434EF1">
      <w:pPr>
        <w:pStyle w:val="ConsPlusNormal"/>
        <w:ind w:firstLine="540"/>
        <w:jc w:val="both"/>
        <w:rPr>
          <w:rFonts w:ascii="Times New Roman" w:hAnsi="Times New Roman" w:cs="Times New Roman"/>
          <w:color w:val="000000"/>
          <w:sz w:val="28"/>
          <w:szCs w:val="28"/>
        </w:rPr>
      </w:pPr>
      <w:hyperlink r:id="rId193" w:tooltip="Постановление Правительства РФ от 20.11.2000 N 878 (ред. от 17.05.2016) &quot;Об утверждении Правил охраны газораспределительных сетей&quot;{КонсультантПлюс}"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20.11.2000 № 878 «Об утверждении Правил охраны газораспределительных сетей»;</w:t>
      </w:r>
    </w:p>
    <w:p w:rsidR="00AA422F" w:rsidRDefault="00AA422F" w:rsidP="00434EF1">
      <w:pPr>
        <w:pStyle w:val="ConsPlusNormal"/>
        <w:ind w:firstLine="540"/>
        <w:jc w:val="both"/>
        <w:rPr>
          <w:rFonts w:ascii="Times New Roman" w:hAnsi="Times New Roman" w:cs="Times New Roman"/>
          <w:color w:val="000000"/>
          <w:sz w:val="28"/>
          <w:szCs w:val="28"/>
        </w:rPr>
      </w:pPr>
      <w:hyperlink r:id="rId194" w:tooltip="Постановление Правительства РФ от 30.12.2003 N 794 (ред. от 30.11.2016) &quot;О единой государственной системе предупреждения и ликвидации чрезвычайных ситуаций&quot;{КонсультантПлюс}"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30.12.2003 № 794 «О единой государственной системе предупреждения и ликвидации чрезвычайных ситуаций»;</w:t>
      </w:r>
    </w:p>
    <w:p w:rsidR="00AA422F" w:rsidRDefault="00AA422F" w:rsidP="00434EF1">
      <w:pPr>
        <w:pStyle w:val="ConsPlusNormal"/>
        <w:ind w:firstLine="540"/>
        <w:jc w:val="both"/>
        <w:rPr>
          <w:rFonts w:ascii="Times New Roman" w:hAnsi="Times New Roman" w:cs="Times New Roman"/>
          <w:color w:val="000000"/>
          <w:sz w:val="28"/>
          <w:szCs w:val="28"/>
        </w:rPr>
      </w:pPr>
      <w:hyperlink r:id="rId195" w:tooltip="Постановление Правительства РФ от 20.06.2006 N 384 (ред. от 15.06.2009) &quot;Об утверждении Правил определения границ зон охраняемых объектов и согласования градостроительных регламентов для таких зон&quot;{КонсультантПлюс}"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AA422F" w:rsidRDefault="00AA422F" w:rsidP="00434EF1">
      <w:pPr>
        <w:pStyle w:val="ConsPlusNormal"/>
        <w:ind w:firstLine="540"/>
        <w:jc w:val="both"/>
        <w:rPr>
          <w:rFonts w:ascii="Times New Roman" w:hAnsi="Times New Roman" w:cs="Times New Roman"/>
          <w:color w:val="000000"/>
          <w:sz w:val="28"/>
          <w:szCs w:val="28"/>
        </w:rPr>
      </w:pPr>
      <w:hyperlink r:id="rId196" w:tooltip="Постановление Правительства РФ от 21.05.2007 N 304 (ред. от 17.05.2011) &quot;О классификации чрезвычайных ситуаций природного и техногенного характера&quot;{КонсультантПлюс}"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21.05.2007 № 304 «О классификации чрезвычайных ситуаций природного и техногенного характера»;</w:t>
      </w:r>
    </w:p>
    <w:p w:rsidR="00AA422F" w:rsidRDefault="00AA422F" w:rsidP="00434EF1">
      <w:pPr>
        <w:pStyle w:val="ConsPlusNormal"/>
        <w:ind w:firstLine="540"/>
        <w:jc w:val="both"/>
        <w:rPr>
          <w:rFonts w:ascii="Times New Roman" w:hAnsi="Times New Roman" w:cs="Times New Roman"/>
          <w:color w:val="000000"/>
          <w:sz w:val="28"/>
          <w:szCs w:val="28"/>
        </w:rPr>
      </w:pPr>
      <w:hyperlink r:id="rId197" w:tooltip="Постановление Правительства РФ от 26.04.2008 N 315 (ред. от 31.08.2015) &quot;Об утверждении Положения о зонах охраны объектов культурного наследия (памятников истории и культуры) народов Российской Федерации&quot;------------ Утратил силу или отменен{Консультант"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 силу отдельных положений нормативных правовых актов Правительства Российской Федерации»;</w:t>
      </w:r>
    </w:p>
    <w:p w:rsidR="00AA422F" w:rsidRDefault="00AA422F" w:rsidP="00434EF1">
      <w:pPr>
        <w:pStyle w:val="ConsPlusNormal"/>
        <w:ind w:firstLine="540"/>
        <w:jc w:val="both"/>
        <w:rPr>
          <w:rFonts w:ascii="Times New Roman" w:hAnsi="Times New Roman" w:cs="Times New Roman"/>
          <w:color w:val="000000"/>
          <w:sz w:val="28"/>
          <w:szCs w:val="28"/>
        </w:rPr>
      </w:pPr>
      <w:hyperlink r:id="rId198" w:tooltip="Постановление Правительства РФ от 02.09.2009 N 717 (ред. от 11.03.2011) &quot;О нормах отвода земель для размещения автомобильных дорог и (или) объектов дорожного сервиса&quot;{КонсультантПлюс}"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02.09.2009 № 717 «О нормах отвода земель для размещения автомобильных дорог и (или) объектов дорожного сервиса»;</w:t>
      </w:r>
    </w:p>
    <w:p w:rsidR="00AA422F" w:rsidRDefault="00AA422F" w:rsidP="00434EF1">
      <w:pPr>
        <w:pStyle w:val="ConsPlusNormal"/>
        <w:ind w:firstLine="540"/>
        <w:jc w:val="both"/>
        <w:rPr>
          <w:rFonts w:ascii="Times New Roman" w:hAnsi="Times New Roman" w:cs="Times New Roman"/>
          <w:color w:val="000000"/>
          <w:sz w:val="28"/>
          <w:szCs w:val="28"/>
        </w:rPr>
      </w:pPr>
      <w:hyperlink r:id="rId199" w:tooltip="Постановление Правительства РФ от 29.10.2009 N 860 (ред. от 27.08.2015) &quot;О требованиях к обеспеченности автомобильных дорог общего пользования объектами дорожного сервиса, размещаемыми в границах полос отвода&quot; (вместе с &quot;Минимально необходимыми для обслуж"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AA422F" w:rsidRDefault="00AA422F" w:rsidP="00434EF1">
      <w:pPr>
        <w:pStyle w:val="ConsPlusNormal"/>
        <w:ind w:firstLine="540"/>
        <w:jc w:val="both"/>
        <w:rPr>
          <w:rFonts w:ascii="Times New Roman" w:hAnsi="Times New Roman" w:cs="Times New Roman"/>
          <w:color w:val="000000"/>
          <w:sz w:val="28"/>
          <w:szCs w:val="28"/>
        </w:rPr>
      </w:pPr>
      <w:hyperlink r:id="rId200" w:tooltip="Постановление Правительства РФ от 14.12.2009 N 1007 (ред. от 01.11.2012) &quot;Об утверждении Положения об определении функциональных зон в лесопарковых зонах, площади и границ лесопарковых зон, зеленых зон&quot;{КонсультантПлюс}"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w:t>
      </w:r>
    </w:p>
    <w:p w:rsidR="00AA422F" w:rsidRDefault="00AA422F" w:rsidP="00434EF1">
      <w:pPr>
        <w:pStyle w:val="ConsPlusNormal"/>
        <w:ind w:firstLine="540"/>
        <w:jc w:val="both"/>
        <w:rPr>
          <w:rFonts w:ascii="Times New Roman" w:hAnsi="Times New Roman" w:cs="Times New Roman"/>
          <w:color w:val="000000"/>
          <w:sz w:val="28"/>
          <w:szCs w:val="28"/>
        </w:rPr>
      </w:pPr>
      <w:hyperlink r:id="rId201" w:tooltip="Постановление Правительства РФ от 24.09.2010 N 754 &quot;Об утверждении Правил установления нормативов минимальной обеспеченности населения площадью торговых объектов&quot;------------ Утратил силу или отменен{КонсультантПлюс}"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AA422F" w:rsidRDefault="00AA422F" w:rsidP="00434EF1">
      <w:pPr>
        <w:pStyle w:val="ConsPlusNormal"/>
        <w:ind w:firstLine="540"/>
        <w:jc w:val="both"/>
        <w:rPr>
          <w:rFonts w:ascii="Times New Roman" w:hAnsi="Times New Roman" w:cs="Times New Roman"/>
          <w:color w:val="000000"/>
          <w:sz w:val="28"/>
          <w:szCs w:val="28"/>
        </w:rPr>
      </w:pPr>
      <w:hyperlink r:id="rId202" w:tooltip="Постановление Правительства РФ от 22.12.2011 N 1108 &quo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quot;{Консул"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AA422F" w:rsidRDefault="00AA422F" w:rsidP="00434EF1">
      <w:pPr>
        <w:pStyle w:val="ConsPlusNormal"/>
        <w:ind w:firstLine="540"/>
        <w:jc w:val="both"/>
        <w:rPr>
          <w:rFonts w:ascii="Times New Roman" w:hAnsi="Times New Roman" w:cs="Times New Roman"/>
          <w:color w:val="000000"/>
          <w:sz w:val="28"/>
          <w:szCs w:val="28"/>
        </w:rPr>
      </w:pPr>
      <w:hyperlink r:id="rId203" w:tooltip="Постановление Правительства РФ от 18.04.2014 N 360 (ред. от 17.05.2016) &quot;Об определении границ зон затопления, подтопления&quot; (вместе с &quot;Правилами определения границ зон затопления, подтопления&quot;){КонсультантПлюс}"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18.04.2014 № 360 «Об определении границ зон затопления, подтопления»;</w:t>
      </w:r>
    </w:p>
    <w:p w:rsidR="00AA422F" w:rsidRDefault="00AA422F" w:rsidP="00434EF1">
      <w:pPr>
        <w:pStyle w:val="ConsPlusNormal"/>
        <w:ind w:firstLine="540"/>
        <w:jc w:val="both"/>
        <w:rPr>
          <w:rFonts w:ascii="Times New Roman" w:hAnsi="Times New Roman" w:cs="Times New Roman"/>
          <w:color w:val="000000"/>
          <w:sz w:val="28"/>
          <w:szCs w:val="28"/>
        </w:rPr>
      </w:pPr>
      <w:hyperlink r:id="rId204" w:tooltip="Постановление Правительства РФ от 05.05.2014 N 405 (ред. от 10.09.2016) &quo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AA422F" w:rsidRDefault="00AA422F" w:rsidP="00434EF1">
      <w:pPr>
        <w:pStyle w:val="ConsPlusNormal"/>
        <w:ind w:firstLine="540"/>
        <w:jc w:val="both"/>
        <w:rPr>
          <w:rFonts w:ascii="Times New Roman" w:hAnsi="Times New Roman" w:cs="Times New Roman"/>
          <w:color w:val="000000"/>
          <w:sz w:val="28"/>
          <w:szCs w:val="28"/>
        </w:rPr>
      </w:pPr>
      <w:hyperlink r:id="rId205" w:tooltip="Постановление Правительства РФ от 26.12.2014 N 1521 (ред. от 29.09.2015) &quo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AA422F" w:rsidRDefault="00AA422F" w:rsidP="00434EF1">
      <w:pPr>
        <w:pStyle w:val="ConsPlusNormal"/>
        <w:ind w:firstLine="540"/>
        <w:jc w:val="both"/>
        <w:rPr>
          <w:rFonts w:ascii="Times New Roman" w:hAnsi="Times New Roman" w:cs="Times New Roman"/>
          <w:color w:val="000000"/>
          <w:sz w:val="28"/>
          <w:szCs w:val="28"/>
        </w:rPr>
      </w:pPr>
      <w:hyperlink r:id="rId206" w:tooltip="Распоряжение Правительства РФ от 21.06.2010 N 1047-р &l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 w:history="1">
        <w:r>
          <w:rPr>
            <w:rStyle w:val="Hyperlink"/>
            <w:rFonts w:ascii="Times New Roman" w:hAnsi="Times New Roman"/>
            <w:color w:val="000000"/>
            <w:sz w:val="28"/>
            <w:szCs w:val="28"/>
            <w:u w:val="none"/>
          </w:rPr>
          <w:t>распоряжение</w:t>
        </w:r>
      </w:hyperlink>
      <w:r>
        <w:rPr>
          <w:rFonts w:ascii="Times New Roman" w:hAnsi="Times New Roman" w:cs="Times New Roman"/>
          <w:color w:val="000000"/>
          <w:sz w:val="28"/>
          <w:szCs w:val="28"/>
        </w:rPr>
        <w:t xml:space="preserve"> Правительства Российской Федерации от 21.06.2010 № 1047-р;</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rsidR="00AA422F" w:rsidRDefault="00AA422F" w:rsidP="00434EF1">
      <w:pPr>
        <w:pStyle w:val="ConsPlusNormal"/>
        <w:ind w:firstLine="540"/>
        <w:jc w:val="both"/>
        <w:rPr>
          <w:rFonts w:ascii="Times New Roman" w:hAnsi="Times New Roman" w:cs="Times New Roman"/>
          <w:color w:val="000000"/>
          <w:sz w:val="28"/>
          <w:szCs w:val="28"/>
        </w:rPr>
      </w:pPr>
      <w:hyperlink r:id="rId207" w:tooltip="Приказ Мининформсвязи РФ от 02.08.2005 N 90 &quot;Об утверждении Инструкции по заполнению технического паспорта линейно-кабельного сооружения связи&quot; (Зарегистрировано в Минюсте РФ 18.08.2005 N 6915){КонсультантПлюс}" w:history="1">
        <w:r>
          <w:rPr>
            <w:rStyle w:val="Hyperlink"/>
            <w:rFonts w:ascii="Times New Roman" w:hAnsi="Times New Roman"/>
            <w:color w:val="000000"/>
            <w:sz w:val="28"/>
            <w:szCs w:val="28"/>
            <w:u w:val="none"/>
          </w:rPr>
          <w:t>приказ</w:t>
        </w:r>
      </w:hyperlink>
      <w:r>
        <w:rPr>
          <w:rFonts w:ascii="Times New Roman" w:hAnsi="Times New Roman" w:cs="Times New Roman"/>
          <w:color w:val="000000"/>
          <w:sz w:val="28"/>
          <w:szCs w:val="28"/>
        </w:rPr>
        <w:t xml:space="preserve">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p>
    <w:p w:rsidR="00AA422F" w:rsidRDefault="00AA422F" w:rsidP="00434EF1">
      <w:pPr>
        <w:pStyle w:val="ConsPlusNormal"/>
        <w:ind w:firstLine="540"/>
        <w:jc w:val="both"/>
        <w:rPr>
          <w:rFonts w:ascii="Times New Roman" w:hAnsi="Times New Roman" w:cs="Times New Roman"/>
          <w:color w:val="000000"/>
          <w:sz w:val="28"/>
          <w:szCs w:val="28"/>
        </w:rPr>
      </w:pPr>
      <w:hyperlink r:id="rId208" w:tooltip="Приказ МЧС РФ N 422, Мининформсвязи РФ N 90, Минкультуры РФ N 376 от 25.07.2006 &quot;Об утверждении Положения о системах оповещения населения&quot; (Зарегистрировано в Минюсте РФ 12.09.2006 N 8232){КонсультантПлюс}" w:history="1">
        <w:r>
          <w:rPr>
            <w:rStyle w:val="Hyperlink"/>
            <w:rFonts w:ascii="Times New Roman" w:hAnsi="Times New Roman"/>
            <w:color w:val="000000"/>
            <w:sz w:val="28"/>
            <w:szCs w:val="28"/>
            <w:u w:val="none"/>
          </w:rPr>
          <w:t>приказ</w:t>
        </w:r>
      </w:hyperlink>
      <w:r>
        <w:rPr>
          <w:rFonts w:ascii="Times New Roman" w:hAnsi="Times New Roman" w:cs="Times New Roman"/>
          <w:color w:val="000000"/>
          <w:sz w:val="28"/>
          <w:szCs w:val="28"/>
        </w:rPr>
        <w:t xml:space="preserve">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rsidR="00AA422F" w:rsidRDefault="00AA422F" w:rsidP="00434EF1">
      <w:pPr>
        <w:pStyle w:val="ConsPlusNormal"/>
        <w:ind w:firstLine="540"/>
        <w:jc w:val="both"/>
        <w:rPr>
          <w:rFonts w:ascii="Times New Roman" w:hAnsi="Times New Roman" w:cs="Times New Roman"/>
          <w:color w:val="000000"/>
          <w:sz w:val="28"/>
          <w:szCs w:val="28"/>
        </w:rPr>
      </w:pPr>
      <w:hyperlink r:id="rId209" w:tooltip="Приказ Ростехрегулирования от 01.06.2010 N 2079 (ред. от 02.07.2014) &quo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w:history="1">
        <w:r>
          <w:rPr>
            <w:rStyle w:val="Hyperlink"/>
            <w:rFonts w:ascii="Times New Roman" w:hAnsi="Times New Roman"/>
            <w:color w:val="000000"/>
            <w:sz w:val="28"/>
            <w:szCs w:val="28"/>
            <w:u w:val="none"/>
          </w:rPr>
          <w:t>приказ</w:t>
        </w:r>
      </w:hyperlink>
      <w:r>
        <w:rPr>
          <w:rFonts w:ascii="Times New Roman" w:hAnsi="Times New Roman" w:cs="Times New Roman"/>
          <w:color w:val="000000"/>
          <w:sz w:val="28"/>
          <w:szCs w:val="28"/>
        </w:rPr>
        <w:t xml:space="preserve"> Федерального агентства по техническому регулированию и метрологии от 30.03.2015 № 365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Законы и иные нормативные правовые акты Алтайского края</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hyperlink r:id="rId210" w:tooltip="Закон Алтайского края от 17.03.1998 N 15-ЗС (ред. от 04.05.2016) &quot;О защите населения и территории Алтайского края от чрезвычайных ситуаций природного и техногенного характера&quot; (принят АКЗС 16.03.1998){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Алтайского края от 17.03.1998 № 15-ЗС «О защите населения и территории Алтайского края от чрезвычайных ситуаций природного и техногенного характера»;</w:t>
      </w:r>
    </w:p>
    <w:p w:rsidR="00AA422F" w:rsidRDefault="00AA422F" w:rsidP="00434EF1">
      <w:pPr>
        <w:pStyle w:val="ConsPlusNormal"/>
        <w:ind w:firstLine="540"/>
        <w:jc w:val="both"/>
        <w:rPr>
          <w:rFonts w:ascii="Times New Roman" w:hAnsi="Times New Roman" w:cs="Times New Roman"/>
          <w:color w:val="000000"/>
          <w:sz w:val="28"/>
          <w:szCs w:val="28"/>
        </w:rPr>
      </w:pPr>
      <w:hyperlink r:id="rId211" w:tooltip="Закон Алтайского края от 07.11.2006 N 111-ЗС (ред. от 12.11.2013) &quot;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quot; (при"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AA422F" w:rsidRDefault="00AA422F" w:rsidP="00434EF1">
      <w:pPr>
        <w:pStyle w:val="ConsPlusNormal"/>
        <w:ind w:firstLine="540"/>
        <w:jc w:val="both"/>
        <w:rPr>
          <w:rFonts w:ascii="Times New Roman" w:hAnsi="Times New Roman" w:cs="Times New Roman"/>
          <w:color w:val="000000"/>
          <w:sz w:val="28"/>
          <w:szCs w:val="28"/>
        </w:rPr>
      </w:pPr>
      <w:hyperlink r:id="rId212" w:tooltip="Закон Алтайского края от 01.03.2008 N 28-ЗС (ред. от 02.09.2015) &quot;Об административно-территориальном устройстве Алтайского края&quot; (принят Постановлением АКСНД от 28.02.2008 N 144)------------ Недействующая редакция{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Алтайского края от 01.03.2008 № 28-ЗС «Об административно-территориальном устройстве Алтайского края»;</w:t>
      </w:r>
    </w:p>
    <w:p w:rsidR="00AA422F" w:rsidRDefault="00AA422F" w:rsidP="00434EF1">
      <w:pPr>
        <w:pStyle w:val="ConsPlusNormal"/>
        <w:ind w:firstLine="540"/>
        <w:jc w:val="both"/>
        <w:rPr>
          <w:rFonts w:ascii="Times New Roman" w:hAnsi="Times New Roman" w:cs="Times New Roman"/>
          <w:color w:val="000000"/>
          <w:sz w:val="28"/>
          <w:szCs w:val="28"/>
        </w:rPr>
      </w:pPr>
      <w:hyperlink r:id="rId213" w:tooltip="Закон Алтайского края от 29.12.2009 N 120-ЗС (ред. от 05.04.2016) &quot;О градостроительной деятельности на территории Алтайского края&quot; (принят Постановлением АКЗС от 24.12.2009 N 740){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Алтайского края от 29.12.2009 № 120-ЗС «О градостроительной деятельности на территории Алтайского края»;</w:t>
      </w:r>
    </w:p>
    <w:p w:rsidR="00AA422F" w:rsidRDefault="00AA422F" w:rsidP="00434EF1">
      <w:pPr>
        <w:pStyle w:val="ConsPlusNormal"/>
        <w:ind w:firstLine="540"/>
        <w:jc w:val="both"/>
        <w:rPr>
          <w:rFonts w:ascii="Times New Roman" w:hAnsi="Times New Roman" w:cs="Times New Roman"/>
          <w:color w:val="000000"/>
          <w:sz w:val="28"/>
          <w:szCs w:val="28"/>
        </w:rPr>
      </w:pPr>
      <w:hyperlink r:id="rId214" w:tooltip="Закон Алтайского края от 06.12.2010 N 110-ЗС (ред. от 07.05.2014) &quot;О пчеловодстве&quot; (принят Постановлением АКЗС от 02.12.2010 N 614){КонсультантПлюс}" w:history="1">
        <w:r>
          <w:rPr>
            <w:rStyle w:val="Hyperlink"/>
            <w:rFonts w:ascii="Times New Roman" w:hAnsi="Times New Roman"/>
            <w:color w:val="000000"/>
            <w:sz w:val="28"/>
            <w:szCs w:val="28"/>
            <w:u w:val="none"/>
          </w:rPr>
          <w:t>закон</w:t>
        </w:r>
      </w:hyperlink>
      <w:r>
        <w:rPr>
          <w:rFonts w:ascii="Times New Roman" w:hAnsi="Times New Roman" w:cs="Times New Roman"/>
          <w:color w:val="000000"/>
          <w:sz w:val="28"/>
          <w:szCs w:val="28"/>
        </w:rPr>
        <w:t xml:space="preserve"> Алтайского края от 06.12.2010 № 110-ЗС «О пчеловодстве»;</w:t>
      </w:r>
    </w:p>
    <w:p w:rsidR="00AA422F" w:rsidRDefault="00AA422F" w:rsidP="00434EF1">
      <w:pPr>
        <w:pStyle w:val="ConsPlusNormal"/>
        <w:ind w:firstLine="540"/>
        <w:jc w:val="both"/>
        <w:rPr>
          <w:rFonts w:ascii="Times New Roman" w:hAnsi="Times New Roman" w:cs="Times New Roman"/>
          <w:color w:val="000000"/>
          <w:sz w:val="28"/>
          <w:szCs w:val="28"/>
        </w:rPr>
      </w:pPr>
      <w:hyperlink r:id="rId215" w:tooltip="Постановление Администрации Алтайского края от 08.05.2007 N 195 (ред. от 18.12.2014) &quot;Об основных требованиях к торговым местам и размерах площади рынков на территории Алтайского края&quot;{КонсультантПлюс}"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Администрации края от 08.05.2007 № 195 «Об основных требованиях к торговым местам и размерах площади рынков на территории Алтайского края»;</w:t>
      </w:r>
    </w:p>
    <w:p w:rsidR="00AA422F" w:rsidRDefault="00AA422F" w:rsidP="00434EF1">
      <w:pPr>
        <w:pStyle w:val="ConsPlusNormal"/>
        <w:ind w:firstLine="540"/>
        <w:jc w:val="both"/>
        <w:rPr>
          <w:rFonts w:ascii="Times New Roman" w:hAnsi="Times New Roman" w:cs="Times New Roman"/>
          <w:color w:val="000000"/>
          <w:sz w:val="28"/>
          <w:szCs w:val="28"/>
        </w:rPr>
      </w:pPr>
      <w:hyperlink r:id="rId216" w:tooltip="Постановление Администрации Алтайского края от 31.05.2010 N 233 (ред. от 11.04.2016) &quot;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AA422F" w:rsidRDefault="00AA422F" w:rsidP="00434EF1">
      <w:pPr>
        <w:pStyle w:val="ConsPlusNormal"/>
        <w:ind w:firstLine="540"/>
        <w:jc w:val="both"/>
        <w:rPr>
          <w:rFonts w:ascii="Times New Roman" w:hAnsi="Times New Roman" w:cs="Times New Roman"/>
          <w:color w:val="000000"/>
          <w:sz w:val="28"/>
          <w:szCs w:val="28"/>
        </w:rPr>
      </w:pPr>
      <w:hyperlink r:id="rId217" w:tooltip="Постановление Администрации Алтайского края от 12.08.2013 N 418 (ред. от 24.07.2015) &quot;Об утверждении схемы развития и размещения особо охраняемых природных территорий Алтайского края на период до 2025 года&quot;{КонсультантПлюс}"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AA422F" w:rsidRDefault="00AA422F" w:rsidP="00434EF1">
      <w:pPr>
        <w:pStyle w:val="ConsPlusNormal"/>
        <w:ind w:firstLine="540"/>
        <w:jc w:val="both"/>
        <w:rPr>
          <w:rFonts w:ascii="Times New Roman" w:hAnsi="Times New Roman" w:cs="Times New Roman"/>
          <w:color w:val="000000"/>
          <w:sz w:val="28"/>
          <w:szCs w:val="28"/>
        </w:rPr>
      </w:pPr>
      <w:hyperlink r:id="rId218" w:tooltip="Постановление Администрации Алтайского края от 06.05.2014 N 220 (ред. от 14.09.2016) &quot;О памятниках природы краевого значения&quot;{КонсультантПлюс}" w:history="1">
        <w:r>
          <w:rPr>
            <w:rStyle w:val="Hyperlink"/>
            <w:rFonts w:ascii="Times New Roman" w:hAnsi="Times New Roman"/>
            <w:color w:val="000000"/>
            <w:sz w:val="28"/>
            <w:szCs w:val="28"/>
            <w:u w:val="none"/>
          </w:rPr>
          <w:t>постановление</w:t>
        </w:r>
      </w:hyperlink>
      <w:r>
        <w:rPr>
          <w:rFonts w:ascii="Times New Roman" w:hAnsi="Times New Roman" w:cs="Times New Roman"/>
          <w:color w:val="000000"/>
          <w:sz w:val="28"/>
          <w:szCs w:val="28"/>
        </w:rPr>
        <w:t xml:space="preserve"> Администрации края от 06.05.2014 № 220 «О памятниках природы краевого значения».</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Государственные стандарты Российской Федерации (ГОСТ)</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Перечень национальных стандартов, применяемых</w:t>
      </w:r>
    </w:p>
    <w:p w:rsidR="00AA422F" w:rsidRDefault="00AA422F" w:rsidP="00434EF1">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обязательной основе </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31937-2011 «Здания и сооружения. Правила обследования и мониторинга технического состояния».</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Перечень национальных стандартов,</w:t>
      </w:r>
    </w:p>
    <w:p w:rsidR="00AA422F" w:rsidRDefault="00AA422F" w:rsidP="00434EF1">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применяемых на добровольной основе</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22.0.010-96 «Правила нанесения на карты обстановки о чрезвычайных ситуациях»;</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17.0.0.01-76* «Система стандартов в области охраны природы и улучшения использования природных ресурсов. Основные положения»;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17.6.3.01-78* «Охрана природы. Флора. Охрана и рациональное использование лесов зеленых зон городов. Общие требования»;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17.5.3.01-78 «Охрана природы. Земли. Состав и размер зеленых зон городов»;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23337-2014* «Шум. Методы измерения шума на селитебной территории и в помещениях жилых и общественных зданий»;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17.1.1.04-80 «Охрана природы. Гидросфера. Классификация подземных вод по целям водопользования»;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17.1.5.02-80 «Охрана природы. Гидросфера. Гигиенические требования к зонам рекреации водных объектов»;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17.5.3.03-80 «Охрана природы. Земли. Общие требования к гидролесомелиорации»;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17.1.3.06-82 «Охрана природы. Гидросфера. Общие требования к охране подземных вод»;</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17.5.3.04-83* «Охрана природы. Земли. Общие требования к рекультивации земель»;</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СТ СЭВ 4867-84 «Защита от шума в строительстве. Звукоизоляция ограждающих конструкций. Нормы проектирования»;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2761-84* «Источники централизованного хозяйственно-питьевого водоснабжения. Гигиенические, технические требования и правила выбора»;</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20444-2014 «Шум. Транспортные потоки. Методы измерения шумовой характеристики»;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17.1.3.13-86 «Охрана природы. Гидросфера. Общие требования к охране поверхностных вод от загрязнения»;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22283-88 «Шум авиационный. Допустимые уровни шума на территории жилой застройки и методы его измерения»;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50681-94 «Туристско-экскурсионное обслуживание. Проектирование туристских услуг»;</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22.1.02-95 «Безопасность в чрезвычайных ситуациях. Мониторинг и прогнозирование. Термины и определения»;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52108-2003 «Ресурсосбережение. Обращение с отходами. Основные положения»;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52142-2013 «Социальное обслуживание населения. Качество социальных услуг. Общие положения»;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AA422F" w:rsidRDefault="00AA422F" w:rsidP="00434EF1">
      <w:pPr>
        <w:pStyle w:val="ConsPlusNormal"/>
        <w:ind w:firstLine="540"/>
        <w:jc w:val="both"/>
        <w:rPr>
          <w:rFonts w:ascii="Times New Roman" w:hAnsi="Times New Roman" w:cs="Times New Roman"/>
          <w:color w:val="000000"/>
          <w:sz w:val="28"/>
          <w:szCs w:val="28"/>
        </w:rPr>
      </w:pPr>
      <w:hyperlink r:id="rId219"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w:history="1">
        <w:r>
          <w:rPr>
            <w:rStyle w:val="Hyperlink"/>
            <w:rFonts w:ascii="Times New Roman" w:hAnsi="Times New Roman"/>
            <w:color w:val="000000"/>
            <w:sz w:val="28"/>
            <w:szCs w:val="28"/>
            <w:u w:val="none"/>
          </w:rPr>
          <w:t>ГОСТ Р 52289-2004</w:t>
        </w:r>
      </w:hyperlink>
      <w:r>
        <w:rPr>
          <w:rFonts w:ascii="Times New Roman" w:hAnsi="Times New Roman" w:cs="Times New Roman"/>
          <w:color w:val="000000"/>
          <w:sz w:val="28"/>
          <w:szCs w:val="28"/>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51773-2009 «Услуги торговли. Классификация предприятий торговли».</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Своды правил по проектированию и строительству (СП)</w:t>
      </w:r>
    </w:p>
    <w:p w:rsidR="00AA422F" w:rsidRDefault="00AA422F" w:rsidP="00434EF1">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(актуализированные редакции СНиП)</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Перечень сводов правил, применяемых на</w:t>
      </w:r>
    </w:p>
    <w:p w:rsidR="00AA422F" w:rsidRDefault="00AA422F" w:rsidP="00434EF1">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обязательной основе </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14.13330.2014 «СНиП II-7-81* «Строительство в сейсмических районах»;</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15.13330.2012 «СНиП II-22-81* «Каменные и армокаменные конструкции»;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16.13330.2011 «СНиП II-23-81* «Стальные конструкции»;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17.13330.2011 «СНиП II-26-76 «Кровли»;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18.13330.2011 «СНиП II-89-80* «Генеральные планы промышленных предприятий»;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19.13330.2011 «СНиП II-97-76 «Генеральные планы сельскохозяйственных предприятий»;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20.13330.2011 «СНиП 2.01.07-85* «Нагрузки и воздействия»;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22.13330.2011 «СНиП 2.02.01-83* «Основания зданий и сооружений»;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23.13330.2011 «СНиП 2.02.02-85* «Основания гидротехнических сооружений»;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26.13330.2012 «СНиП 2.02.05-87 «Фундаменты машин с динамическими нагрузками»;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28.13330.2012 «СНиП 2.03.11-85 «Защита строительных конструкций от коррозии»;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29.13330.2011 «СНиП 2.03.13-88 «Полы»;</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30.13330.2012 «СНиП 2.04.01-85* «Внутренний водопровод и канализация зданий»;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31.13330.2012 «СНиП 2.04.02-84* «Водоснабжение. Наружные сети и сооружения»;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32.13330.2012 «СНиП 2.04.03-85 «Канализация. Наружные сети и сооружения»;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33.13330.2012 «СНиП 2.04.12-86 «Расчет на прочность стальных трубопроводов»;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34.13330.2012 «СНиП 2.05.02-85* «Автомобильные дороги»;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35.13330.2011 «СНиП 2.05.03-84* «Мосты и трубы»;</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36.13330.2012 «СНиП 2.05.06-85* «Магистральные трубопроводы»;</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37.13330.2012 «СНиП 2.05.07-91* «Промышленный транспорт»;</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38.13330.2012 «СНиП 2.06.04-82* «Нагрузки и воздействия на гидротехнические сооружения (волновые, ледовые и от судов)»;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39.13330.2012 «СНиП 2.06.05-84* «Плотины из грунтовых материалов»;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41.13330.2012 «СНиП 2.06.08-87 «Бетонные и железобетонные конструкции гидротехнических сооружений»;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42.13330.2011 «СНиП 2.07.01-89* «Градостроительство. Планировка и застройка городских и сельских поселений»;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43.13330.2012 «СНиП 2.09.03-85 «Сооружения промышленных предприятий»;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45.13330.2012 «СНиП 3.02.01-87 «Земляные сооружения, основания и фундаменты»;</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46.13330.2012 «СНиП 3.06.04-91 «Мосты и трубы»;</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47.13330.2012 «СНиП 11-02-96 «Инженерные изыскания для строительства. Основные положения»;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50.13330.2012 «СНиП 23-02-2003 «Тепловая защита зданий»;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51.13330.2011 «СНиП 23-03-2003 «Защита от шума»;</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52.13330.2011 «СНиП 23-05-95* «Естественное и искусственное освещение»;</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54.13330.2011 «СНиП 31-01-2003 «Здания жилые многоквартирные»;</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55.13330.2011 «СНиП 31-02-2001 «Дома жилые одноквартирные»;</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56.13330.2011 «СНиП 31-03-2001 «Производственные здания»;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58.13330.2012 «СНиП 33-01-2003 «Гидротехнические сооружения. Основные положении»;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59.13330.2012 «СНиП 35-01-2001 «Доступность зданий и сооружений для маломобильных групп населения»;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60.13330.2012 «СНиП 41-01-2003 «Отопление, вентиляция и кондиционирование воздуха»;</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61.13330.2012 «СНиП 41-03-2003 «Тепловая изоляция оборудования и трубопроводов»;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62.13330.2011 «СНиП 42-01-2012 «Газораспределительные системы»;</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63.13330.2012 «СНиП 52-01-2003 «Бетонные и железобетонные конструкции. Основные положения»;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64.13330.2011 «СНиП II-25-80 «Деревянные конструкции»;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70.13330.2012 «СНиП 3.03.01-87 «Несущие и ограждающие конструкции»;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78.13330.2012 «СНиП 3.06.03-85 «Автомобильные дороги»;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79.13330.2012 «СНиП 3.06.07-86 «Мосты и трубы. Правила обследований и испытаний»;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86.13330.2014 «СНиП  III-42-80* «Магистральные трубопроводы»;</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88.13330.2014 «СНиП II-11-77* «Защитные сооружения гражданской обороны»;</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89.13330.2012 «СНиП II-35-76 «Котельные установки»;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105.13330.2012 «СНиП 2.10.02-84 «Здания и помещения для хранения и переработки сельскохозяйственной продукции»;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106.13330.2012 "СНиП 2.10.03-84 «Животноводческие, птицеводческие и звероводческие здания и помещения»;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108.13330.2012 «СНиП 2.10.05-85 «Предприятия, здания и сооружения по хранению и переработке зерна»;</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109.13330.2012 «СНиП 2.11.02-87 «Холодильники»;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113.13330.2012 «СНиП 21-02-99* «Стоянки автомобилей»;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118.13330.2012 «СНиП 31-06-2009 «Общественные здания и сооружения»;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121.13330.2012 «СНиП 32-03-96 «Аэродромы»;</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123.13330.2012 «СНиП 34-02-99 «Подземные хранилища газа, нефти и продуктов их переработки»;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124.13330.2012 «СНиП 41-02-2003 «Тепловые сети»;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128.13330.2012 «СНиП 2.03.06-85 «Алюминиевые конструкции»;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131.13330.2012 «СНиП 23-01-99* «Строительная климатология»;</w:t>
      </w:r>
    </w:p>
    <w:p w:rsidR="00AA422F" w:rsidRDefault="00AA422F" w:rsidP="00434EF1">
      <w:pPr>
        <w:pStyle w:val="ConsPlusNormal"/>
        <w:ind w:firstLine="540"/>
        <w:jc w:val="both"/>
        <w:rPr>
          <w:rFonts w:ascii="Times New Roman" w:hAnsi="Times New Roman" w:cs="Times New Roman"/>
          <w:color w:val="000000"/>
          <w:sz w:val="28"/>
          <w:szCs w:val="28"/>
        </w:rPr>
      </w:pPr>
      <w:hyperlink r:id="rId220" w:tooltip="Приказ Минрегиона России от 05.07.2011 N 320 &quot;Об утверждении свода правил &quot;Обеспечение антитеррористической защищенности зданий и сооружений. Общие требования проектирования&quot; (вместе с &quot;СП 132.13330.2011. Свод правил. Обеспечение антитеррористической защи" w:history="1">
        <w:r>
          <w:rPr>
            <w:rStyle w:val="Hyperlink"/>
            <w:rFonts w:ascii="Times New Roman" w:hAnsi="Times New Roman"/>
            <w:color w:val="000000"/>
            <w:sz w:val="28"/>
            <w:szCs w:val="28"/>
            <w:u w:val="none"/>
          </w:rPr>
          <w:t>СП 132.13330.2011</w:t>
        </w:r>
      </w:hyperlink>
      <w:r>
        <w:rPr>
          <w:rFonts w:ascii="Times New Roman" w:hAnsi="Times New Roman" w:cs="Times New Roman"/>
          <w:color w:val="000000"/>
          <w:sz w:val="28"/>
          <w:szCs w:val="28"/>
        </w:rPr>
        <w:t xml:space="preserve"> «Обеспечение антитеррористической защищенности зданий и сооружений. Общие требования проектирования».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Перечень сводов правил, применяемых</w:t>
      </w:r>
    </w:p>
    <w:p w:rsidR="00AA422F" w:rsidRDefault="00AA422F" w:rsidP="00434EF1">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на добровольной основе</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11-103-97 «Инженерно-гидрометеорологические изыскания для строительства»;</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27.13330.2011 «СНиП 2.03.04-84 «Бетонные и железобетонные конструкции, предназначенные для работы в условиях воздействия повышенных и высоких температур»;</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30-102-99 «Планировка и застройка территорий малоэтажного жилищного строительства»;</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31-102-99 «Требования доступности общественных зданий и сооружений для инвалидов и других маломобильных посетителей»;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31-103-99 «Проектирование и строительство зданий, сооружений и комплексов православных храмов»;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31-110-2003 «Проектирование и монтаж электроустановок жилых и общественных зданий»;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31-112-2004(1) «Физкультурно-спортивные залы. Часть 1»;</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31-112-2004(2) «Физкультурно-спортивные залы. Часть 2»;</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31-112-2004(3) «Физкультурно-спортивные залы. Часть 3. Крытые ледовые арены»;</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31-113-2004 «Бассейны для плавания»;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33-101-2003 «Определение основных расчетных гидрологических характеристик»;</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35-101-2001 «Проектирование зданий и сооружений с учетом доступности для маломобильных групп населения. Общие положения»;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35-102-2001 «Жилая среда с планировочными элементами, доступными инвалидам»;</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35-103-2001 «Общественные здания и сооружения, доступные маломобильным посетителям»;</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35-105-2002 «Реконструкция городской застройки с учетом доступности для инвалидов и других маломобильных групп населения»;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35-106-2003 «Расчет и размещение учреждений социального обслуживания пожилых людей»;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41-104-2000 «Проектирование автономных источников теплоснабжения»;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41-108-2004 «Поквартирное теплоснабжение жилых зданий с теплогенераторами на газовом топливе»;</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44.13330.2011 «СНиП 2.09.04-87* «Административные и бытовые здания»;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48.13330.2011 «СНиП 12-01-2004 «Организация строительства»;</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53.13330.2011 «СНиП 30-02-97 «Планировка и застройка территорий садоводческих (дачных) объединений граждан, здания и сооружении»;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57.13330.2010 «СНиП 31-04-2001 «Складские здания»;</w:t>
      </w:r>
    </w:p>
    <w:p w:rsidR="00AA422F" w:rsidRDefault="00AA422F" w:rsidP="00434EF1">
      <w:pPr>
        <w:pStyle w:val="ConsPlusNormal"/>
        <w:ind w:firstLine="540"/>
        <w:jc w:val="both"/>
        <w:rPr>
          <w:rFonts w:ascii="Times New Roman" w:hAnsi="Times New Roman" w:cs="Times New Roman"/>
          <w:color w:val="000000"/>
          <w:sz w:val="28"/>
          <w:szCs w:val="28"/>
        </w:rPr>
      </w:pPr>
      <w:hyperlink r:id="rId221" w:tooltip="Постановление Главного государственного санитарного врача РФ от 30.05.2001 N 16 &quot;О введении в действие санитарных правил&quot; (вместе с &quot;СП 2.1.7.1038-01. 2.1.7. Почва, очистка населенных мест, отходы производства и потребления, санитарная охрана почвы. Гигие" w:history="1">
        <w:r>
          <w:rPr>
            <w:rStyle w:val="Hyperlink"/>
            <w:rFonts w:ascii="Times New Roman" w:hAnsi="Times New Roman"/>
            <w:color w:val="000000"/>
            <w:sz w:val="28"/>
            <w:szCs w:val="28"/>
            <w:u w:val="none"/>
          </w:rPr>
          <w:t>СП 2.1.7.1038</w:t>
        </w:r>
      </w:hyperlink>
      <w:r>
        <w:rPr>
          <w:rFonts w:ascii="Times New Roman" w:hAnsi="Times New Roman" w:cs="Times New Roman"/>
          <w:color w:val="000000"/>
          <w:sz w:val="28"/>
          <w:szCs w:val="28"/>
        </w:rPr>
        <w:t xml:space="preserve"> «Гигиенические требования к устройству и содержанию полигонов для твердых бытовых отходов»;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115.13330.2012 «СНиП 22-01-95 «Геофизика опасных природных воздействий»;</w:t>
      </w:r>
    </w:p>
    <w:p w:rsidR="00AA422F" w:rsidRDefault="00AA422F" w:rsidP="00434EF1">
      <w:pPr>
        <w:pStyle w:val="ConsPlusNormal"/>
        <w:ind w:firstLine="540"/>
        <w:jc w:val="both"/>
        <w:rPr>
          <w:rFonts w:ascii="Times New Roman" w:hAnsi="Times New Roman" w:cs="Times New Roman"/>
          <w:color w:val="000000"/>
          <w:sz w:val="28"/>
          <w:szCs w:val="28"/>
        </w:rPr>
      </w:pPr>
      <w:hyperlink r:id="rId222" w:tooltip="Приказ МЧС России от 24.04.2013 N 288 (ред. от 18.07.2013) &quot;Об утверждении свода правил СП 4.13130 &quot;Системы противопожарной защиты. Ограничение распространения пожара на объектах защиты. Требования к объемно-планировочным и конструктивным решениям&quot; (вмест" w:history="1">
        <w:r>
          <w:rPr>
            <w:rStyle w:val="Hyperlink"/>
            <w:rFonts w:ascii="Times New Roman" w:hAnsi="Times New Roman"/>
            <w:color w:val="000000"/>
            <w:sz w:val="28"/>
            <w:szCs w:val="28"/>
            <w:u w:val="none"/>
          </w:rPr>
          <w:t>СП 4.13130.2013</w:t>
        </w:r>
      </w:hyperlink>
      <w:r>
        <w:rPr>
          <w:rFonts w:ascii="Times New Roman" w:hAnsi="Times New Roman" w:cs="Times New Roman"/>
          <w:color w:val="000000"/>
          <w:sz w:val="28"/>
          <w:szCs w:val="28"/>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Строительные нормы (СН)</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441-72* «Указания по проектированию ограждений площадок и участков предприятий, зданий и сооружений»;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452-73 «Нормы отвода земель для магистральных трубопроводов»;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455-73 «Нормы отвода земель для предприятий рыбного хозяйства»;</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456-73 «Нормы отвода земель для магистральных водоводов и канализационных коллекторов»;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461-74 «Нормы отвода земель для линий связи»;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462-74 «Нормы отвода земель для сооружения геологоразведочных скважин».</w:t>
      </w:r>
    </w:p>
    <w:p w:rsidR="00AA422F" w:rsidRDefault="00AA422F" w:rsidP="00434EF1">
      <w:pPr>
        <w:pStyle w:val="ConsPlusNormal"/>
        <w:ind w:firstLine="540"/>
        <w:jc w:val="both"/>
        <w:rPr>
          <w:rFonts w:ascii="Times New Roman" w:hAnsi="Times New Roman" w:cs="Times New Roman"/>
          <w:color w:val="000000"/>
          <w:sz w:val="28"/>
          <w:szCs w:val="28"/>
        </w:rPr>
      </w:pP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Ведомственные строительные нормы (ВСН)</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hyperlink r:id="rId223" w:tooltip="&quot;Ведомственные строительные нормы. Правила оценки физического износа жилых зданий. ВСН 53-86(р)&quot; (утв. Приказом Госгражданстроя при Госстрое СССР от 24.12.1986 N 446){КонсультантПлюс}" w:history="1">
        <w:r>
          <w:rPr>
            <w:rStyle w:val="Hyperlink"/>
            <w:rFonts w:ascii="Times New Roman" w:hAnsi="Times New Roman"/>
            <w:color w:val="000000"/>
            <w:sz w:val="28"/>
            <w:szCs w:val="28"/>
            <w:u w:val="none"/>
          </w:rPr>
          <w:t>ВСН 53-86(р)</w:t>
        </w:r>
      </w:hyperlink>
      <w:r>
        <w:rPr>
          <w:rFonts w:ascii="Times New Roman" w:hAnsi="Times New Roman" w:cs="Times New Roman"/>
          <w:color w:val="000000"/>
          <w:sz w:val="28"/>
          <w:szCs w:val="28"/>
        </w:rPr>
        <w:t xml:space="preserve"> «Правила оценки физического износа жилых зданий»;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33-2.2.12-87 «Мелиоративные системы и сооружения. Насосные станции. Нормы проектирования»;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01-89 «Предприятия по обслуживанию автомобилей»;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61-89(р) «Реконструкция и капитальный ремонт жилых домов. Нормы проектирования»;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8-89 «Инструкция по охране природной среды при строительстве, ремонте и содержании автомобильных дорог»;</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62-91* «Проектирование среды жизнедеятельности с учетом потребностей инвалидов и маломобильных групп населения»;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14278 тм-т1 «Нормы отвода земель для электрических сетей напряжением 0,38-750 кВ».</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Отраслевые нормы</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НТП-АПК 1.10.04.003-03 «Нормы технологического проектирования конно-спортивных комплексов»;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ОСТ 218.1.002-2003 «Автобусные остановки на автомобильных дорогах. Общие технические условия»;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ОДМ 218.5.001-2008 «Методические рекомендации по защите и очистке автомобильных дорог от снега».</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Санитарные правила и нормы (СанПиН)</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widowControl w:val="0"/>
        <w:ind w:firstLine="709"/>
        <w:jc w:val="both"/>
        <w:rPr>
          <w:color w:val="000000"/>
          <w:sz w:val="28"/>
          <w:szCs w:val="28"/>
        </w:rPr>
      </w:pPr>
      <w:hyperlink r:id="rId224" w:history="1">
        <w:r>
          <w:rPr>
            <w:rStyle w:val="Hyperlink"/>
            <w:color w:val="000000"/>
            <w:sz w:val="28"/>
            <w:szCs w:val="28"/>
          </w:rPr>
          <w:t>СанПиН 1.2.2584</w:t>
        </w:r>
      </w:hyperlink>
      <w:r>
        <w:rPr>
          <w:color w:val="000000"/>
          <w:sz w:val="28"/>
          <w:szCs w:val="28"/>
        </w:rPr>
        <w:t>-10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rsidR="00AA422F" w:rsidRDefault="00AA422F" w:rsidP="00434EF1">
      <w:pPr>
        <w:widowControl w:val="0"/>
        <w:ind w:firstLine="709"/>
        <w:jc w:val="both"/>
        <w:rPr>
          <w:color w:val="000000"/>
          <w:sz w:val="28"/>
          <w:szCs w:val="28"/>
        </w:rPr>
      </w:pPr>
      <w:hyperlink r:id="rId225" w:history="1">
        <w:r>
          <w:rPr>
            <w:rStyle w:val="Hyperlink"/>
            <w:color w:val="000000"/>
            <w:sz w:val="28"/>
            <w:szCs w:val="28"/>
          </w:rPr>
          <w:t>СанПиН 2.1.2882</w:t>
        </w:r>
      </w:hyperlink>
      <w:r>
        <w:rPr>
          <w:color w:val="000000"/>
          <w:sz w:val="28"/>
          <w:szCs w:val="28"/>
        </w:rPr>
        <w:t>-11 «Гигиенические требования к размещению, устройству и содержанию кладбищ, зданий и сооружений похоронного назначения»;</w:t>
      </w:r>
    </w:p>
    <w:p w:rsidR="00AA422F" w:rsidRDefault="00AA422F" w:rsidP="00434EF1">
      <w:pPr>
        <w:widowControl w:val="0"/>
        <w:ind w:firstLine="709"/>
        <w:jc w:val="both"/>
        <w:rPr>
          <w:color w:val="000000"/>
          <w:sz w:val="28"/>
          <w:szCs w:val="28"/>
        </w:rPr>
      </w:pPr>
      <w:hyperlink r:id="rId226" w:history="1">
        <w:r>
          <w:rPr>
            <w:rStyle w:val="Hyperlink"/>
            <w:color w:val="000000"/>
            <w:sz w:val="28"/>
            <w:szCs w:val="28"/>
          </w:rPr>
          <w:t>СанПиН 2.1.2.2645</w:t>
        </w:r>
      </w:hyperlink>
      <w:r>
        <w:rPr>
          <w:color w:val="000000"/>
          <w:sz w:val="28"/>
          <w:szCs w:val="28"/>
        </w:rPr>
        <w:t>-10 «Санитарно-эпидемиологические требования к условиям проживания в жилых зданиях и помещениях»;</w:t>
      </w:r>
    </w:p>
    <w:p w:rsidR="00AA422F" w:rsidRDefault="00AA422F" w:rsidP="00434EF1">
      <w:pPr>
        <w:widowControl w:val="0"/>
        <w:ind w:firstLine="709"/>
        <w:jc w:val="both"/>
        <w:rPr>
          <w:color w:val="000000"/>
          <w:sz w:val="28"/>
          <w:szCs w:val="28"/>
        </w:rPr>
      </w:pPr>
      <w:hyperlink r:id="rId227" w:history="1">
        <w:r>
          <w:rPr>
            <w:rStyle w:val="Hyperlink"/>
            <w:color w:val="000000"/>
            <w:sz w:val="28"/>
            <w:szCs w:val="28"/>
          </w:rPr>
          <w:t>СанПиН 2.1.4.1074</w:t>
        </w:r>
      </w:hyperlink>
      <w:r>
        <w:rPr>
          <w:color w:val="000000"/>
          <w:sz w:val="28"/>
          <w:szCs w:val="28"/>
        </w:rPr>
        <w:t>-01 «Питьевая вода. Гигиенические требования к качеству воды централизованного питьевого водоснабжения. Контроль качества»;</w:t>
      </w:r>
    </w:p>
    <w:p w:rsidR="00AA422F" w:rsidRDefault="00AA422F" w:rsidP="00434EF1">
      <w:pPr>
        <w:widowControl w:val="0"/>
        <w:ind w:firstLine="709"/>
        <w:jc w:val="both"/>
        <w:rPr>
          <w:color w:val="000000"/>
          <w:sz w:val="28"/>
          <w:szCs w:val="28"/>
        </w:rPr>
      </w:pPr>
      <w:hyperlink r:id="rId228" w:history="1">
        <w:r>
          <w:rPr>
            <w:rStyle w:val="Hyperlink"/>
            <w:color w:val="000000"/>
            <w:sz w:val="28"/>
            <w:szCs w:val="28"/>
          </w:rPr>
          <w:t>СанПиН 2.1.4.1110</w:t>
        </w:r>
      </w:hyperlink>
      <w:r>
        <w:rPr>
          <w:color w:val="000000"/>
          <w:sz w:val="28"/>
          <w:szCs w:val="28"/>
        </w:rPr>
        <w:t>-02 «Зоны санитарной охраны источников водоснабжения и водопроводов питьевого назначения»;</w:t>
      </w:r>
    </w:p>
    <w:p w:rsidR="00AA422F" w:rsidRDefault="00AA422F" w:rsidP="00434EF1">
      <w:pPr>
        <w:widowControl w:val="0"/>
        <w:ind w:firstLine="709"/>
        <w:jc w:val="both"/>
        <w:rPr>
          <w:color w:val="000000"/>
          <w:sz w:val="28"/>
          <w:szCs w:val="28"/>
        </w:rPr>
      </w:pPr>
      <w:hyperlink r:id="rId229" w:history="1">
        <w:r>
          <w:rPr>
            <w:rStyle w:val="Hyperlink"/>
            <w:color w:val="000000"/>
            <w:sz w:val="28"/>
            <w:szCs w:val="28"/>
          </w:rPr>
          <w:t>СанПиН 2.1.4.1175</w:t>
        </w:r>
      </w:hyperlink>
      <w:r>
        <w:rPr>
          <w:color w:val="000000"/>
          <w:sz w:val="28"/>
          <w:szCs w:val="28"/>
        </w:rPr>
        <w:t>-02 «Гигиенические требования к качеству воды нецентрализованного водоснабжения. Санитарная охрана источников»;</w:t>
      </w:r>
    </w:p>
    <w:p w:rsidR="00AA422F" w:rsidRDefault="00AA422F" w:rsidP="00434EF1">
      <w:pPr>
        <w:widowControl w:val="0"/>
        <w:ind w:firstLine="709"/>
        <w:jc w:val="both"/>
        <w:rPr>
          <w:color w:val="000000"/>
          <w:sz w:val="28"/>
          <w:szCs w:val="28"/>
        </w:rPr>
      </w:pPr>
      <w:hyperlink r:id="rId230" w:history="1">
        <w:r>
          <w:rPr>
            <w:rStyle w:val="Hyperlink"/>
            <w:color w:val="000000"/>
            <w:sz w:val="28"/>
            <w:szCs w:val="28"/>
          </w:rPr>
          <w:t>СанПиН 2.1.5.980</w:t>
        </w:r>
      </w:hyperlink>
      <w:r>
        <w:rPr>
          <w:color w:val="000000"/>
          <w:sz w:val="28"/>
          <w:szCs w:val="28"/>
        </w:rPr>
        <w:t>-00 «Водоотведение населенных мест, санитарная охрана водных объектов. Гигиенические требования к охране поверхностных вод»;</w:t>
      </w:r>
    </w:p>
    <w:p w:rsidR="00AA422F" w:rsidRDefault="00AA422F" w:rsidP="00434EF1">
      <w:pPr>
        <w:widowControl w:val="0"/>
        <w:ind w:firstLine="709"/>
        <w:jc w:val="both"/>
        <w:rPr>
          <w:color w:val="000000"/>
          <w:sz w:val="28"/>
          <w:szCs w:val="28"/>
        </w:rPr>
      </w:pPr>
      <w:hyperlink r:id="rId231" w:history="1">
        <w:r>
          <w:rPr>
            <w:rStyle w:val="Hyperlink"/>
            <w:color w:val="000000"/>
            <w:sz w:val="28"/>
            <w:szCs w:val="28"/>
          </w:rPr>
          <w:t>СанПиН 2.1.6.1032</w:t>
        </w:r>
      </w:hyperlink>
      <w:r>
        <w:rPr>
          <w:color w:val="000000"/>
          <w:sz w:val="28"/>
          <w:szCs w:val="28"/>
        </w:rPr>
        <w:t>-01 «Гигиенические требования к обеспечению качества атмосферного воздуха населенных мест»;</w:t>
      </w:r>
    </w:p>
    <w:p w:rsidR="00AA422F" w:rsidRDefault="00AA422F" w:rsidP="00434EF1">
      <w:pPr>
        <w:widowControl w:val="0"/>
        <w:ind w:firstLine="709"/>
        <w:jc w:val="both"/>
        <w:rPr>
          <w:color w:val="000000"/>
          <w:sz w:val="28"/>
          <w:szCs w:val="28"/>
        </w:rPr>
      </w:pPr>
      <w:r>
        <w:rPr>
          <w:color w:val="000000"/>
          <w:sz w:val="28"/>
          <w:szCs w:val="28"/>
        </w:rPr>
        <w:t>СанПиН 2.1.7.2790-10 «Санитарно-эпидемиологические требования к обращению с медицинскими отходами»;</w:t>
      </w:r>
    </w:p>
    <w:p w:rsidR="00AA422F" w:rsidRDefault="00AA422F" w:rsidP="00434EF1">
      <w:pPr>
        <w:widowControl w:val="0"/>
        <w:ind w:firstLine="709"/>
        <w:jc w:val="both"/>
        <w:rPr>
          <w:color w:val="000000"/>
          <w:sz w:val="28"/>
          <w:szCs w:val="28"/>
        </w:rPr>
      </w:pPr>
      <w:hyperlink r:id="rId232" w:history="1">
        <w:r>
          <w:rPr>
            <w:rStyle w:val="Hyperlink"/>
            <w:color w:val="000000"/>
            <w:sz w:val="28"/>
            <w:szCs w:val="28"/>
          </w:rPr>
          <w:t>СанПиН 2.1.7.1287</w:t>
        </w:r>
      </w:hyperlink>
      <w:r>
        <w:rPr>
          <w:color w:val="000000"/>
          <w:sz w:val="28"/>
          <w:szCs w:val="28"/>
        </w:rPr>
        <w:t>-03 «Санитарно-эпидемиологические требования к качеству почвы»;</w:t>
      </w:r>
    </w:p>
    <w:p w:rsidR="00AA422F" w:rsidRDefault="00AA422F" w:rsidP="00434EF1">
      <w:pPr>
        <w:widowControl w:val="0"/>
        <w:ind w:firstLine="709"/>
        <w:jc w:val="both"/>
        <w:rPr>
          <w:color w:val="000000"/>
          <w:sz w:val="28"/>
          <w:szCs w:val="28"/>
        </w:rPr>
      </w:pPr>
      <w:hyperlink r:id="rId233" w:history="1">
        <w:r>
          <w:rPr>
            <w:rStyle w:val="Hyperlink"/>
            <w:color w:val="000000"/>
            <w:sz w:val="28"/>
            <w:szCs w:val="28"/>
          </w:rPr>
          <w:t>СанПиН 2.1.7.1322</w:t>
        </w:r>
      </w:hyperlink>
      <w:r>
        <w:rPr>
          <w:color w:val="000000"/>
          <w:sz w:val="28"/>
          <w:szCs w:val="28"/>
        </w:rPr>
        <w:t>-03 «Гигиенические требования к размещению и обезвреживанию отходов производства и потребления»;</w:t>
      </w:r>
    </w:p>
    <w:p w:rsidR="00AA422F" w:rsidRDefault="00AA422F" w:rsidP="00434EF1">
      <w:pPr>
        <w:widowControl w:val="0"/>
        <w:ind w:firstLine="709"/>
        <w:jc w:val="both"/>
        <w:rPr>
          <w:color w:val="000000"/>
          <w:sz w:val="28"/>
          <w:szCs w:val="28"/>
        </w:rPr>
      </w:pPr>
      <w:hyperlink r:id="rId234" w:history="1">
        <w:r>
          <w:rPr>
            <w:rStyle w:val="Hyperlink"/>
            <w:color w:val="000000"/>
            <w:sz w:val="28"/>
            <w:szCs w:val="28"/>
          </w:rPr>
          <w:t>СанПиН 2.1.8/2.2.4.1190</w:t>
        </w:r>
      </w:hyperlink>
      <w:r>
        <w:rPr>
          <w:color w:val="000000"/>
          <w:sz w:val="28"/>
          <w:szCs w:val="28"/>
        </w:rPr>
        <w:t>-03 «Гигиенические требования к размещению и эксплуатации средств сухопутной подвижной радиосвязи»;</w:t>
      </w:r>
    </w:p>
    <w:p w:rsidR="00AA422F" w:rsidRDefault="00AA422F" w:rsidP="00434EF1">
      <w:pPr>
        <w:widowControl w:val="0"/>
        <w:ind w:firstLine="709"/>
        <w:jc w:val="both"/>
        <w:rPr>
          <w:color w:val="000000"/>
          <w:sz w:val="28"/>
          <w:szCs w:val="28"/>
        </w:rPr>
      </w:pPr>
      <w:hyperlink r:id="rId235" w:history="1">
        <w:r>
          <w:rPr>
            <w:rStyle w:val="Hyperlink"/>
            <w:color w:val="000000"/>
            <w:sz w:val="28"/>
            <w:szCs w:val="28"/>
          </w:rPr>
          <w:t>СанПиН 2.1.8/2.2.4.1383</w:t>
        </w:r>
      </w:hyperlink>
      <w:r>
        <w:rPr>
          <w:color w:val="000000"/>
          <w:sz w:val="28"/>
          <w:szCs w:val="28"/>
        </w:rPr>
        <w:t>-03 «Гигиенические требования к размещению и эксплуатации передающих радиотехнических объектов»;</w:t>
      </w:r>
    </w:p>
    <w:p w:rsidR="00AA422F" w:rsidRDefault="00AA422F" w:rsidP="00434EF1">
      <w:pPr>
        <w:widowControl w:val="0"/>
        <w:ind w:firstLine="709"/>
        <w:jc w:val="both"/>
        <w:rPr>
          <w:color w:val="000000"/>
          <w:sz w:val="28"/>
          <w:szCs w:val="28"/>
        </w:rPr>
      </w:pPr>
      <w:hyperlink r:id="rId236" w:history="1">
        <w:r>
          <w:rPr>
            <w:rStyle w:val="Hyperlink"/>
            <w:color w:val="000000"/>
            <w:sz w:val="28"/>
            <w:szCs w:val="28"/>
          </w:rPr>
          <w:t>СанПиН 2.2.1/2.1.1.1076</w:t>
        </w:r>
      </w:hyperlink>
      <w:r>
        <w:rPr>
          <w:color w:val="000000"/>
          <w:sz w:val="28"/>
          <w:szCs w:val="28"/>
        </w:rPr>
        <w:t>-01 «Гигиенические требования к инсоляции и солнцезащите помещений жилых и общественных зданий и территорий»;</w:t>
      </w:r>
    </w:p>
    <w:p w:rsidR="00AA422F" w:rsidRDefault="00AA422F" w:rsidP="00434EF1">
      <w:pPr>
        <w:widowControl w:val="0"/>
        <w:ind w:firstLine="709"/>
        <w:jc w:val="both"/>
        <w:rPr>
          <w:color w:val="000000"/>
          <w:sz w:val="28"/>
          <w:szCs w:val="28"/>
        </w:rPr>
      </w:pPr>
      <w:hyperlink r:id="rId237" w:history="1">
        <w:r>
          <w:rPr>
            <w:rStyle w:val="Hyperlink"/>
            <w:color w:val="000000"/>
            <w:sz w:val="28"/>
            <w:szCs w:val="28"/>
          </w:rPr>
          <w:t>СанПиН 2.2.1/2.1.1.1200</w:t>
        </w:r>
      </w:hyperlink>
      <w:r>
        <w:rPr>
          <w:color w:val="000000"/>
          <w:sz w:val="28"/>
          <w:szCs w:val="28"/>
        </w:rPr>
        <w:t>-03 «Санитарно-защитные зоны и санитарная классификация предприятий, сооружений и иных объектов»;</w:t>
      </w:r>
    </w:p>
    <w:p w:rsidR="00AA422F" w:rsidRDefault="00AA422F" w:rsidP="00434EF1">
      <w:pPr>
        <w:widowControl w:val="0"/>
        <w:ind w:firstLine="709"/>
        <w:jc w:val="both"/>
        <w:rPr>
          <w:color w:val="000000"/>
          <w:sz w:val="28"/>
          <w:szCs w:val="28"/>
        </w:rPr>
      </w:pPr>
      <w:r>
        <w:rPr>
          <w:color w:val="000000"/>
          <w:sz w:val="28"/>
          <w:szCs w:val="28"/>
        </w:rPr>
        <w:t>СанПиН 2.4.3259-15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AA422F" w:rsidRDefault="00AA422F" w:rsidP="00434EF1">
      <w:pPr>
        <w:widowControl w:val="0"/>
        <w:ind w:firstLine="709"/>
        <w:jc w:val="both"/>
        <w:rPr>
          <w:color w:val="000000"/>
          <w:sz w:val="28"/>
          <w:szCs w:val="28"/>
        </w:rPr>
      </w:pPr>
      <w:hyperlink r:id="rId238" w:history="1">
        <w:r>
          <w:rPr>
            <w:rStyle w:val="Hyperlink"/>
            <w:color w:val="000000"/>
            <w:sz w:val="28"/>
            <w:szCs w:val="28"/>
          </w:rPr>
          <w:t>СанПиН 2.4.1.3049</w:t>
        </w:r>
      </w:hyperlink>
      <w:r>
        <w:rPr>
          <w:color w:val="000000"/>
          <w:sz w:val="28"/>
          <w:szCs w:val="28"/>
        </w:rPr>
        <w:t>-13 «Санитарно-эпидемиологические требования к устройству, содержанию и организации режима работы дошкольных образовательных организаций»;</w:t>
      </w:r>
    </w:p>
    <w:p w:rsidR="00AA422F" w:rsidRDefault="00AA422F" w:rsidP="00434EF1">
      <w:pPr>
        <w:widowControl w:val="0"/>
        <w:ind w:firstLine="709"/>
        <w:jc w:val="both"/>
        <w:rPr>
          <w:color w:val="000000"/>
          <w:sz w:val="28"/>
          <w:szCs w:val="28"/>
        </w:rPr>
      </w:pPr>
      <w:hyperlink r:id="rId239" w:history="1">
        <w:r>
          <w:rPr>
            <w:rStyle w:val="Hyperlink"/>
            <w:color w:val="000000"/>
            <w:sz w:val="28"/>
            <w:szCs w:val="28"/>
          </w:rPr>
          <w:t>СанПиН 2.4.2.2821</w:t>
        </w:r>
      </w:hyperlink>
      <w:r>
        <w:rPr>
          <w:color w:val="000000"/>
          <w:sz w:val="28"/>
          <w:szCs w:val="28"/>
        </w:rPr>
        <w:t>-10 «Санитарно-эпидемиологические требования к условиям и организации обучения в общеобразовательных учреждениях»;</w:t>
      </w:r>
    </w:p>
    <w:p w:rsidR="00AA422F" w:rsidRDefault="00AA422F" w:rsidP="00434EF1">
      <w:pPr>
        <w:widowControl w:val="0"/>
        <w:ind w:firstLine="709"/>
        <w:jc w:val="both"/>
        <w:rPr>
          <w:color w:val="000000"/>
          <w:sz w:val="28"/>
          <w:szCs w:val="28"/>
        </w:rPr>
      </w:pPr>
      <w:hyperlink r:id="rId240" w:anchor="sub_1000" w:history="1">
        <w:r>
          <w:rPr>
            <w:rStyle w:val="Hyperlink"/>
            <w:color w:val="000000"/>
            <w:sz w:val="28"/>
            <w:szCs w:val="28"/>
          </w:rPr>
          <w:t>СанПиН 2.4.2.3286-15</w:t>
        </w:r>
      </w:hyperlink>
      <w:r>
        <w:rPr>
          <w:color w:val="000000"/>
          <w:sz w:val="28"/>
          <w:szCs w:val="28"/>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AA422F" w:rsidRDefault="00AA422F" w:rsidP="00434EF1">
      <w:pPr>
        <w:widowControl w:val="0"/>
        <w:ind w:firstLine="709"/>
        <w:jc w:val="both"/>
        <w:rPr>
          <w:color w:val="000000"/>
          <w:sz w:val="28"/>
          <w:szCs w:val="28"/>
        </w:rPr>
      </w:pPr>
      <w:hyperlink r:id="rId241" w:history="1">
        <w:r>
          <w:rPr>
            <w:rStyle w:val="Hyperlink"/>
            <w:color w:val="000000"/>
            <w:sz w:val="28"/>
            <w:szCs w:val="28"/>
          </w:rPr>
          <w:t>СанПиН 2.4.3.1186</w:t>
        </w:r>
      </w:hyperlink>
      <w:r>
        <w:rPr>
          <w:color w:val="000000"/>
          <w:sz w:val="28"/>
          <w:szCs w:val="28"/>
        </w:rPr>
        <w:t>-03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AA422F" w:rsidRDefault="00AA422F" w:rsidP="00434EF1">
      <w:pPr>
        <w:widowControl w:val="0"/>
        <w:ind w:firstLine="709"/>
        <w:jc w:val="both"/>
        <w:rPr>
          <w:color w:val="000000"/>
          <w:sz w:val="28"/>
          <w:szCs w:val="28"/>
        </w:rPr>
      </w:pPr>
      <w:r>
        <w:rPr>
          <w:color w:val="000000"/>
          <w:sz w:val="28"/>
          <w:szCs w:val="28"/>
        </w:rPr>
        <w:t>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AA422F" w:rsidRDefault="00AA422F" w:rsidP="00434EF1">
      <w:pPr>
        <w:widowControl w:val="0"/>
        <w:ind w:firstLine="709"/>
        <w:jc w:val="both"/>
        <w:rPr>
          <w:color w:val="000000"/>
          <w:sz w:val="28"/>
          <w:szCs w:val="28"/>
        </w:rPr>
      </w:pPr>
      <w:r>
        <w:rPr>
          <w:color w:val="000000"/>
          <w:sz w:val="28"/>
          <w:szCs w:val="28"/>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AA422F" w:rsidRDefault="00AA422F" w:rsidP="00434EF1">
      <w:pPr>
        <w:widowControl w:val="0"/>
        <w:ind w:firstLine="709"/>
        <w:jc w:val="both"/>
        <w:rPr>
          <w:color w:val="000000"/>
          <w:sz w:val="28"/>
          <w:szCs w:val="28"/>
        </w:rPr>
      </w:pPr>
      <w:r>
        <w:rPr>
          <w:color w:val="000000"/>
          <w:sz w:val="28"/>
          <w:szCs w:val="28"/>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AA422F" w:rsidRDefault="00AA422F" w:rsidP="00434EF1">
      <w:pPr>
        <w:widowControl w:val="0"/>
        <w:ind w:firstLine="709"/>
        <w:jc w:val="both"/>
        <w:rPr>
          <w:color w:val="000000"/>
          <w:sz w:val="28"/>
          <w:szCs w:val="28"/>
        </w:rPr>
      </w:pPr>
      <w:hyperlink r:id="rId242" w:history="1">
        <w:r>
          <w:rPr>
            <w:rStyle w:val="Hyperlink"/>
            <w:color w:val="000000"/>
            <w:sz w:val="28"/>
            <w:szCs w:val="28"/>
          </w:rPr>
          <w:t>СанПиН 2.6.1.2523-09 (НРБ-99/2009)</w:t>
        </w:r>
      </w:hyperlink>
      <w:r>
        <w:rPr>
          <w:color w:val="000000"/>
          <w:sz w:val="28"/>
          <w:szCs w:val="28"/>
        </w:rPr>
        <w:t xml:space="preserve"> «Нормы радиационной безопасности»;</w:t>
      </w:r>
    </w:p>
    <w:p w:rsidR="00AA422F" w:rsidRDefault="00AA422F" w:rsidP="00434EF1">
      <w:pPr>
        <w:widowControl w:val="0"/>
        <w:ind w:firstLine="709"/>
        <w:jc w:val="both"/>
        <w:rPr>
          <w:color w:val="000000"/>
          <w:sz w:val="28"/>
          <w:szCs w:val="28"/>
        </w:rPr>
      </w:pPr>
      <w:r>
        <w:rPr>
          <w:color w:val="000000"/>
          <w:sz w:val="28"/>
          <w:szCs w:val="28"/>
        </w:rPr>
        <w:t>СанПиН 2.6.1.2800-10 «Гигиенические требования по ограничению облучения населения за счет природных источников ионизирующего излучения»;</w:t>
      </w:r>
    </w:p>
    <w:p w:rsidR="00AA422F" w:rsidRDefault="00AA422F" w:rsidP="00434EF1">
      <w:pPr>
        <w:widowControl w:val="0"/>
        <w:ind w:firstLine="709"/>
        <w:jc w:val="both"/>
        <w:rPr>
          <w:color w:val="000000"/>
          <w:sz w:val="28"/>
          <w:szCs w:val="28"/>
        </w:rPr>
      </w:pPr>
      <w:r>
        <w:rPr>
          <w:color w:val="000000"/>
          <w:sz w:val="28"/>
          <w:szCs w:val="28"/>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AA422F" w:rsidRDefault="00AA422F" w:rsidP="00434EF1">
      <w:pPr>
        <w:widowControl w:val="0"/>
        <w:ind w:firstLine="709"/>
        <w:jc w:val="both"/>
        <w:rPr>
          <w:color w:val="000000"/>
          <w:sz w:val="28"/>
          <w:szCs w:val="28"/>
        </w:rPr>
      </w:pPr>
      <w:r>
        <w:rPr>
          <w:color w:val="000000"/>
          <w:sz w:val="28"/>
          <w:szCs w:val="28"/>
        </w:rPr>
        <w:t>СанПиН 3907-85 «Санитарные правила проектирования, строительства и эксплуатации водохранилищ»;</w:t>
      </w:r>
    </w:p>
    <w:p w:rsidR="00AA422F" w:rsidRDefault="00AA422F" w:rsidP="00434EF1">
      <w:pPr>
        <w:widowControl w:val="0"/>
        <w:ind w:firstLine="709"/>
        <w:jc w:val="both"/>
        <w:rPr>
          <w:color w:val="000000"/>
          <w:sz w:val="28"/>
          <w:szCs w:val="28"/>
        </w:rPr>
      </w:pPr>
      <w:r>
        <w:rPr>
          <w:color w:val="000000"/>
          <w:sz w:val="28"/>
          <w:szCs w:val="28"/>
        </w:rPr>
        <w:t>СанПиН 4060-85 «Лечебные пляжи. Санитарные правила устройства, оборудования и эксплуатации»;</w:t>
      </w:r>
    </w:p>
    <w:p w:rsidR="00AA422F" w:rsidRDefault="00AA422F" w:rsidP="00434EF1">
      <w:pPr>
        <w:widowControl w:val="0"/>
        <w:ind w:firstLine="709"/>
        <w:jc w:val="both"/>
        <w:rPr>
          <w:color w:val="000000"/>
          <w:sz w:val="28"/>
          <w:szCs w:val="28"/>
        </w:rPr>
      </w:pPr>
      <w:r>
        <w:rPr>
          <w:color w:val="000000"/>
          <w:sz w:val="28"/>
          <w:szCs w:val="28"/>
        </w:rPr>
        <w:t>СанПиН 42-125-4437-87 «Устройство, содержание, и организация режима детских санаториев»;</w:t>
      </w:r>
    </w:p>
    <w:p w:rsidR="00AA422F" w:rsidRDefault="00AA422F" w:rsidP="00434EF1">
      <w:pPr>
        <w:pStyle w:val="ConsPlusNormal"/>
        <w:jc w:val="both"/>
        <w:rPr>
          <w:rFonts w:ascii="Times New Roman" w:hAnsi="Times New Roman" w:cs="Times New Roman"/>
          <w:color w:val="000000"/>
          <w:sz w:val="28"/>
          <w:szCs w:val="28"/>
        </w:rPr>
      </w:pPr>
      <w:hyperlink r:id="rId243" w:history="1">
        <w:r>
          <w:rPr>
            <w:rStyle w:val="Hyperlink"/>
            <w:rFonts w:ascii="Times New Roman" w:hAnsi="Times New Roman"/>
            <w:color w:val="000000"/>
            <w:sz w:val="28"/>
            <w:szCs w:val="28"/>
          </w:rPr>
          <w:t>СанПиН 42-128-4690</w:t>
        </w:r>
      </w:hyperlink>
      <w:r>
        <w:rPr>
          <w:rFonts w:ascii="Times New Roman" w:hAnsi="Times New Roman" w:cs="Times New Roman"/>
          <w:color w:val="000000"/>
          <w:sz w:val="28"/>
          <w:szCs w:val="28"/>
        </w:rPr>
        <w:t>-88 «Санитарные правила содержания территорий населенных мест».</w:t>
      </w: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Санитарные нормы (СН) и санитарные правила (СП)</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widowControl w:val="0"/>
        <w:ind w:firstLine="709"/>
        <w:jc w:val="both"/>
        <w:rPr>
          <w:color w:val="000000"/>
          <w:sz w:val="28"/>
          <w:szCs w:val="28"/>
        </w:rPr>
      </w:pPr>
      <w:hyperlink r:id="rId244" w:history="1">
        <w:r>
          <w:rPr>
            <w:rStyle w:val="Hyperlink"/>
            <w:color w:val="000000"/>
            <w:sz w:val="28"/>
            <w:szCs w:val="28"/>
          </w:rPr>
          <w:t>СН 2.2.4/2.1.8.562</w:t>
        </w:r>
      </w:hyperlink>
      <w:r>
        <w:rPr>
          <w:color w:val="000000"/>
          <w:sz w:val="28"/>
          <w:szCs w:val="28"/>
        </w:rPr>
        <w:t>-96 «Шум на рабочих местах, в помещениях жилых, общественных зданий и на территории жилой застройки»;</w:t>
      </w:r>
    </w:p>
    <w:p w:rsidR="00AA422F" w:rsidRDefault="00AA422F" w:rsidP="00434EF1">
      <w:pPr>
        <w:widowControl w:val="0"/>
        <w:ind w:firstLine="709"/>
        <w:jc w:val="both"/>
        <w:rPr>
          <w:color w:val="000000"/>
          <w:sz w:val="28"/>
          <w:szCs w:val="28"/>
        </w:rPr>
      </w:pPr>
      <w:hyperlink r:id="rId245" w:history="1">
        <w:r>
          <w:rPr>
            <w:rStyle w:val="Hyperlink"/>
            <w:color w:val="000000"/>
            <w:sz w:val="28"/>
            <w:szCs w:val="28"/>
          </w:rPr>
          <w:t>СП 2.1.5.1059</w:t>
        </w:r>
      </w:hyperlink>
      <w:r>
        <w:rPr>
          <w:color w:val="000000"/>
          <w:sz w:val="28"/>
          <w:szCs w:val="28"/>
        </w:rPr>
        <w:t>-01 «Гигиенические требования к охране подземных вод от загрязнения»;</w:t>
      </w:r>
    </w:p>
    <w:p w:rsidR="00AA422F" w:rsidRDefault="00AA422F" w:rsidP="00434EF1">
      <w:pPr>
        <w:widowControl w:val="0"/>
        <w:ind w:firstLine="709"/>
        <w:jc w:val="both"/>
        <w:rPr>
          <w:color w:val="000000"/>
          <w:sz w:val="28"/>
          <w:szCs w:val="28"/>
        </w:rPr>
      </w:pPr>
      <w:hyperlink r:id="rId246" w:history="1">
        <w:r>
          <w:rPr>
            <w:rStyle w:val="Hyperlink"/>
            <w:color w:val="000000"/>
            <w:sz w:val="28"/>
            <w:szCs w:val="28"/>
          </w:rPr>
          <w:t>СП 2.1.7.1038</w:t>
        </w:r>
      </w:hyperlink>
      <w:r>
        <w:rPr>
          <w:color w:val="000000"/>
          <w:sz w:val="28"/>
          <w:szCs w:val="28"/>
        </w:rPr>
        <w:t>-01 «Гигиенические требования к устройству и содержанию полигонов для твердых бытовых отходов»;</w:t>
      </w:r>
    </w:p>
    <w:p w:rsidR="00AA422F" w:rsidRDefault="00AA422F" w:rsidP="00434EF1">
      <w:pPr>
        <w:widowControl w:val="0"/>
        <w:ind w:firstLine="709"/>
        <w:jc w:val="both"/>
        <w:rPr>
          <w:color w:val="000000"/>
          <w:sz w:val="28"/>
          <w:szCs w:val="28"/>
        </w:rPr>
      </w:pPr>
      <w:hyperlink r:id="rId247" w:history="1">
        <w:r>
          <w:rPr>
            <w:rStyle w:val="Hyperlink"/>
            <w:color w:val="000000"/>
            <w:sz w:val="28"/>
            <w:szCs w:val="28"/>
          </w:rPr>
          <w:t>СП 2.1.7.1386</w:t>
        </w:r>
      </w:hyperlink>
      <w:r>
        <w:rPr>
          <w:color w:val="000000"/>
          <w:sz w:val="28"/>
          <w:szCs w:val="28"/>
        </w:rPr>
        <w:t>-03 «Санитарные правила по определению класса опасности токсичных отходов производства и потребления»;</w:t>
      </w:r>
    </w:p>
    <w:p w:rsidR="00AA422F" w:rsidRDefault="00AA422F" w:rsidP="00434EF1">
      <w:pPr>
        <w:widowControl w:val="0"/>
        <w:ind w:firstLine="709"/>
        <w:jc w:val="both"/>
        <w:rPr>
          <w:color w:val="000000"/>
          <w:sz w:val="28"/>
          <w:szCs w:val="28"/>
        </w:rPr>
      </w:pPr>
      <w:hyperlink r:id="rId248" w:history="1">
        <w:r>
          <w:rPr>
            <w:rStyle w:val="Hyperlink"/>
            <w:color w:val="000000"/>
            <w:sz w:val="28"/>
            <w:szCs w:val="28"/>
          </w:rPr>
          <w:t>СП 2.2.1.1312</w:t>
        </w:r>
      </w:hyperlink>
      <w:r>
        <w:rPr>
          <w:color w:val="000000"/>
          <w:sz w:val="28"/>
          <w:szCs w:val="28"/>
        </w:rPr>
        <w:t>-03 «Гигиенические требования к проектированию вновь строящихся и реконструируемых промышленных предприятий»;</w:t>
      </w:r>
    </w:p>
    <w:p w:rsidR="00AA422F" w:rsidRDefault="00AA422F" w:rsidP="00434EF1">
      <w:pPr>
        <w:widowControl w:val="0"/>
        <w:ind w:firstLine="709"/>
        <w:jc w:val="both"/>
        <w:rPr>
          <w:color w:val="000000"/>
          <w:sz w:val="28"/>
          <w:szCs w:val="28"/>
        </w:rPr>
      </w:pPr>
      <w:r>
        <w:rPr>
          <w:color w:val="000000"/>
          <w:sz w:val="28"/>
          <w:szCs w:val="28"/>
        </w:rPr>
        <w:t>СП 2.6.1.2612-10 «Основные санитарные правила обеспечения радиационной безопасности (ОСПОРБ 99/2010)»;</w:t>
      </w:r>
    </w:p>
    <w:p w:rsidR="00AA422F" w:rsidRDefault="00AA422F" w:rsidP="00434EF1">
      <w:pPr>
        <w:widowControl w:val="0"/>
        <w:ind w:firstLine="709"/>
        <w:jc w:val="both"/>
        <w:rPr>
          <w:color w:val="000000"/>
          <w:sz w:val="28"/>
          <w:szCs w:val="28"/>
        </w:rPr>
      </w:pPr>
      <w:hyperlink r:id="rId249" w:history="1">
        <w:r>
          <w:rPr>
            <w:rStyle w:val="Hyperlink"/>
            <w:color w:val="000000"/>
            <w:sz w:val="28"/>
            <w:szCs w:val="28"/>
          </w:rPr>
          <w:t>СП 2.6.6.1168-02 (СПОРО 2002)</w:t>
        </w:r>
      </w:hyperlink>
      <w:r>
        <w:rPr>
          <w:color w:val="000000"/>
          <w:sz w:val="28"/>
          <w:szCs w:val="28"/>
        </w:rPr>
        <w:t xml:space="preserve"> «Санитарные правила обращения с радиоактивными отходами»;</w:t>
      </w:r>
    </w:p>
    <w:p w:rsidR="00AA422F" w:rsidRDefault="00AA422F" w:rsidP="00434EF1">
      <w:pPr>
        <w:widowControl w:val="0"/>
        <w:ind w:firstLine="709"/>
        <w:jc w:val="both"/>
        <w:rPr>
          <w:color w:val="000000"/>
          <w:sz w:val="28"/>
          <w:szCs w:val="28"/>
        </w:rPr>
      </w:pPr>
      <w:r>
        <w:rPr>
          <w:color w:val="000000"/>
          <w:sz w:val="28"/>
          <w:szCs w:val="28"/>
        </w:rPr>
        <w:t>СП 2.1.2.3304-15 «Санитарно-эпидемиологические требования к размещению, устройству и содержанию объектов спорта».</w:t>
      </w: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Гигиенические нормативы (ГН)</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hyperlink r:id="rId250" w:tooltip="Постановление Главного государственного санитарного врача РФ от 30.04.2003 N 78 (ред. от 30.08.2016) &quot;О введении в действие ГН 2.1.5.1315-03&quot; (вместе с &quot;ГН 2.1.5.1315-03. Предельно допустимые концентрации (ПДК) химических веществ в воде водных объектов хо" w:history="1">
        <w:r>
          <w:rPr>
            <w:rStyle w:val="Hyperlink"/>
            <w:rFonts w:ascii="Times New Roman" w:hAnsi="Times New Roman"/>
            <w:color w:val="000000"/>
            <w:sz w:val="28"/>
            <w:szCs w:val="28"/>
            <w:u w:val="none"/>
          </w:rPr>
          <w:t>ГН 2.1.5.1315-03</w:t>
        </w:r>
      </w:hyperlink>
      <w:r>
        <w:rPr>
          <w:rFonts w:ascii="Times New Roman" w:hAnsi="Times New Roman" w:cs="Times New Roman"/>
          <w:color w:val="000000"/>
          <w:sz w:val="28"/>
          <w:szCs w:val="28"/>
        </w:rPr>
        <w:t xml:space="preserve">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AA422F" w:rsidRDefault="00AA422F" w:rsidP="00434EF1">
      <w:pPr>
        <w:pStyle w:val="ConsPlusNormal"/>
        <w:ind w:firstLine="540"/>
        <w:jc w:val="both"/>
        <w:rPr>
          <w:rFonts w:ascii="Times New Roman" w:hAnsi="Times New Roman" w:cs="Times New Roman"/>
          <w:color w:val="000000"/>
          <w:sz w:val="28"/>
          <w:szCs w:val="28"/>
        </w:rPr>
      </w:pPr>
      <w:hyperlink r:id="rId251" w:tooltip="Постановление Главного государственного санитарного врача РФ от 30.05.2003 N 114 (ред. от 30.08.2016) &quot;О введении в действие ГН 2.1.6.1338-03&quot; (вместе с &quot;ГН 2.1.6.1338-03. Предельно допустимые концентрации (ПДК) загрязняющих веществ в атмосферном воздухе " w:history="1">
        <w:r>
          <w:rPr>
            <w:rStyle w:val="Hyperlink"/>
            <w:rFonts w:ascii="Times New Roman" w:hAnsi="Times New Roman"/>
            <w:color w:val="000000"/>
            <w:sz w:val="28"/>
            <w:szCs w:val="28"/>
            <w:u w:val="none"/>
          </w:rPr>
          <w:t>ГН 2.1.6.1338-03</w:t>
        </w:r>
      </w:hyperlink>
      <w:r>
        <w:rPr>
          <w:rFonts w:ascii="Times New Roman" w:hAnsi="Times New Roman" w:cs="Times New Roman"/>
          <w:color w:val="000000"/>
          <w:sz w:val="28"/>
          <w:szCs w:val="28"/>
        </w:rPr>
        <w:t xml:space="preserve"> «Предельно допустимые концентрации (ПДК) загрязняющих веществ в атмосферном воздухе населенных мест»;</w:t>
      </w:r>
    </w:p>
    <w:p w:rsidR="00AA422F" w:rsidRDefault="00AA422F" w:rsidP="00434EF1">
      <w:pPr>
        <w:pStyle w:val="ConsPlusNormal"/>
        <w:ind w:firstLine="540"/>
        <w:jc w:val="both"/>
        <w:rPr>
          <w:rFonts w:ascii="Times New Roman" w:hAnsi="Times New Roman" w:cs="Times New Roman"/>
          <w:color w:val="000000"/>
          <w:sz w:val="28"/>
          <w:szCs w:val="28"/>
        </w:rPr>
      </w:pPr>
      <w:hyperlink r:id="rId252" w:tooltip="Постановление Главного государственного санитарного врача РФ от 23.01.2006 N 1 &quot;О введении в действие гигиенических нормативов ГН 2.1.7.2041-06&quot; (вместе с &quot;ГН 2.1.7.2041-06. 2.1.7. Почва, очистка населенных мест, отходы производства и потребления, санитар" w:history="1">
        <w:r>
          <w:rPr>
            <w:rStyle w:val="Hyperlink"/>
            <w:rFonts w:ascii="Times New Roman" w:hAnsi="Times New Roman"/>
            <w:color w:val="000000"/>
            <w:sz w:val="28"/>
            <w:szCs w:val="28"/>
            <w:u w:val="none"/>
          </w:rPr>
          <w:t>ГН 2.1.7.2041-06</w:t>
        </w:r>
      </w:hyperlink>
      <w:r>
        <w:rPr>
          <w:rFonts w:ascii="Times New Roman" w:hAnsi="Times New Roman" w:cs="Times New Roman"/>
          <w:color w:val="000000"/>
          <w:sz w:val="28"/>
          <w:szCs w:val="28"/>
        </w:rPr>
        <w:t xml:space="preserve"> «Предельно допустимые концентрации (ПДК) химических веществ в почве»;</w:t>
      </w:r>
    </w:p>
    <w:p w:rsidR="00AA422F" w:rsidRDefault="00AA422F" w:rsidP="00434EF1">
      <w:pPr>
        <w:pStyle w:val="ConsPlusNormal"/>
        <w:ind w:firstLine="540"/>
        <w:jc w:val="both"/>
        <w:rPr>
          <w:rFonts w:ascii="Times New Roman" w:hAnsi="Times New Roman" w:cs="Times New Roman"/>
          <w:color w:val="000000"/>
          <w:sz w:val="28"/>
          <w:szCs w:val="28"/>
        </w:rPr>
      </w:pPr>
      <w:hyperlink r:id="rId253" w:tooltip="Постановление Главного государственного санитарного врача РФ от 19.12.2007 N 90 (ред. от 16.09.2013) &quot;Об утверждении ГН 2.1.5.2307-07&quot; (вместе с &quot;ГН 2.1.5.2307-07. 2.1.5. Водоотведение населенных мест, санитарная охрана водоемов. Ориентировочные допустимы" w:history="1">
        <w:r>
          <w:rPr>
            <w:rStyle w:val="Hyperlink"/>
            <w:rFonts w:ascii="Times New Roman" w:hAnsi="Times New Roman"/>
            <w:color w:val="000000"/>
            <w:sz w:val="28"/>
            <w:szCs w:val="28"/>
            <w:u w:val="none"/>
          </w:rPr>
          <w:t>ГН 2.1.5.2307-07</w:t>
        </w:r>
      </w:hyperlink>
      <w:r>
        <w:rPr>
          <w:rFonts w:ascii="Times New Roman" w:hAnsi="Times New Roman" w:cs="Times New Roman"/>
          <w:color w:val="000000"/>
          <w:sz w:val="28"/>
          <w:szCs w:val="28"/>
        </w:rPr>
        <w:t xml:space="preserve"> «Ориентировочные допустимые уровни (ОДУ) химических веществ в воде водных объектов хозяйственно-питьевого и культурно-бытового водопользования»;</w:t>
      </w:r>
    </w:p>
    <w:p w:rsidR="00AA422F" w:rsidRDefault="00AA422F" w:rsidP="00434EF1">
      <w:pPr>
        <w:pStyle w:val="ConsPlusNormal"/>
        <w:ind w:firstLine="540"/>
        <w:jc w:val="both"/>
        <w:rPr>
          <w:rFonts w:ascii="Times New Roman" w:hAnsi="Times New Roman" w:cs="Times New Roman"/>
          <w:color w:val="000000"/>
          <w:sz w:val="28"/>
          <w:szCs w:val="28"/>
        </w:rPr>
      </w:pPr>
      <w:hyperlink r:id="rId254" w:tooltip="Постановление Главного государственного санитарного врача РФ от 19.12.2007 N 92 (ред. от 21.10.2016) &quot;Об утверждении ГН 2.1.6.2309-07&quot; (вместе с &quot;ГН 2.1.6.2309-07. 2.1.6. Атмосферный воздух и воздух закрытых помещений, санитарная охрана воздуха. Ориентиро" w:history="1">
        <w:r>
          <w:rPr>
            <w:rStyle w:val="Hyperlink"/>
            <w:rFonts w:ascii="Times New Roman" w:hAnsi="Times New Roman"/>
            <w:color w:val="000000"/>
            <w:sz w:val="28"/>
            <w:szCs w:val="28"/>
            <w:u w:val="none"/>
          </w:rPr>
          <w:t>ГН 2.1.6.2309-07</w:t>
        </w:r>
      </w:hyperlink>
      <w:r>
        <w:rPr>
          <w:rFonts w:ascii="Times New Roman" w:hAnsi="Times New Roman" w:cs="Times New Roman"/>
          <w:color w:val="000000"/>
          <w:sz w:val="28"/>
          <w:szCs w:val="28"/>
        </w:rPr>
        <w:t xml:space="preserve"> «Ориентировочные безопасные уровни воздействия (ОБУВ) загрязняющих веществ в атмосферном воздухе населенных мест»;</w:t>
      </w:r>
    </w:p>
    <w:p w:rsidR="00AA422F" w:rsidRDefault="00AA422F" w:rsidP="00434EF1">
      <w:pPr>
        <w:pStyle w:val="ConsPlusNormal"/>
        <w:ind w:firstLine="540"/>
        <w:jc w:val="both"/>
        <w:rPr>
          <w:rFonts w:ascii="Times New Roman" w:hAnsi="Times New Roman" w:cs="Times New Roman"/>
          <w:color w:val="000000"/>
          <w:sz w:val="28"/>
          <w:szCs w:val="28"/>
        </w:rPr>
      </w:pPr>
      <w:hyperlink r:id="rId255" w:tooltip="Постановление Главного государственного санитарного врача РФ от 21.08.2007 N 60 &quot;Об утверждении ГН 2.1.8/2.2.4.2262-07&quot; (вместе с &quot;ГН 2.1.8/2.2.4.2262-07. 2.1.8. Физические факторы окружающей природной среды. 2.2.4. Физические факторы производственной сре" w:history="1">
        <w:r>
          <w:rPr>
            <w:rStyle w:val="Hyperlink"/>
            <w:rFonts w:ascii="Times New Roman" w:hAnsi="Times New Roman"/>
            <w:color w:val="000000"/>
            <w:sz w:val="28"/>
            <w:szCs w:val="28"/>
            <w:u w:val="none"/>
          </w:rPr>
          <w:t>ГН 2.1.8/2.2.4.2262-07</w:t>
        </w:r>
      </w:hyperlink>
      <w:r>
        <w:rPr>
          <w:rFonts w:ascii="Times New Roman" w:hAnsi="Times New Roman" w:cs="Times New Roman"/>
          <w:color w:val="000000"/>
          <w:sz w:val="28"/>
          <w:szCs w:val="28"/>
        </w:rPr>
        <w:t xml:space="preserve"> «Предельно допустимые уровни магнитных полей частотой 50 Гц в помещениях жилых, общественных зданий и на селитебных территориях»;</w:t>
      </w:r>
    </w:p>
    <w:p w:rsidR="00AA422F" w:rsidRDefault="00AA422F" w:rsidP="00434EF1">
      <w:pPr>
        <w:pStyle w:val="ConsPlusNormal"/>
        <w:ind w:firstLine="540"/>
        <w:jc w:val="both"/>
        <w:rPr>
          <w:rFonts w:ascii="Times New Roman" w:hAnsi="Times New Roman" w:cs="Times New Roman"/>
          <w:color w:val="000000"/>
          <w:sz w:val="28"/>
          <w:szCs w:val="28"/>
        </w:rPr>
      </w:pPr>
      <w:hyperlink r:id="rId256" w:tooltip="Постановление Главного государственного санитарного врача РФ от 18.05.2009 N 32 &quot;Об утверждении гигиенических нормативов ГН 2.1.7.2511-09&quot; (вместе с &quot;ГН 2.1.7.2511-09. Ориентировочно допустимые концентрации (ОДК) химических веществ в почве. Гигиенические " w:history="1">
        <w:r>
          <w:rPr>
            <w:rStyle w:val="Hyperlink"/>
            <w:rFonts w:ascii="Times New Roman" w:hAnsi="Times New Roman"/>
            <w:color w:val="000000"/>
            <w:sz w:val="28"/>
            <w:szCs w:val="28"/>
            <w:u w:val="none"/>
          </w:rPr>
          <w:t>ГН 2.1.7.2511-09</w:t>
        </w:r>
      </w:hyperlink>
      <w:r>
        <w:rPr>
          <w:rFonts w:ascii="Times New Roman" w:hAnsi="Times New Roman" w:cs="Times New Roman"/>
          <w:color w:val="000000"/>
          <w:sz w:val="28"/>
          <w:szCs w:val="28"/>
        </w:rPr>
        <w:t xml:space="preserve"> «Ориентировочные допустимые концентрации (ОДК) химических веществ в почве».</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Ветеринарно-санитарные правила</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Ветеринарно-санитарные </w:t>
      </w:r>
      <w:hyperlink r:id="rId257" w:tooltip="&quot;Ветеринарно-санитарные правила содержания пчел&quot; (утв. Минсельхозом СССР 15.12.1976){КонсультантПлюс}" w:history="1">
        <w:r>
          <w:rPr>
            <w:rStyle w:val="Hyperlink"/>
            <w:rFonts w:ascii="Times New Roman" w:hAnsi="Times New Roman"/>
            <w:color w:val="000000"/>
            <w:sz w:val="28"/>
            <w:szCs w:val="28"/>
            <w:u w:val="none"/>
          </w:rPr>
          <w:t>правила</w:t>
        </w:r>
      </w:hyperlink>
      <w:r>
        <w:rPr>
          <w:rFonts w:ascii="Times New Roman" w:hAnsi="Times New Roman" w:cs="Times New Roman"/>
          <w:color w:val="000000"/>
          <w:sz w:val="28"/>
          <w:szCs w:val="28"/>
        </w:rPr>
        <w:t xml:space="preserve"> содержания пчел, утвержденные Главным управлением ветеринарии Министерства сельского хозяйства СССР, 1976 г.;</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Ветеринарно-санитарные </w:t>
      </w:r>
      <w:hyperlink r:id="rId258" w:tooltip="&quot;Ветеринарно-санитарные правила сбора, утилизации и уничтожения биологических отходов&quot; (утв. Минсельхозпродом РФ 04.12.1995 N 13-7-2/469) (ред. от 16.08.2007) (Зарегистрировано в Минюсте РФ 05.01.1996 N 1005){КонсультантПлюс}" w:history="1">
        <w:r>
          <w:rPr>
            <w:rStyle w:val="Hyperlink"/>
            <w:rFonts w:ascii="Times New Roman" w:hAnsi="Times New Roman"/>
            <w:color w:val="000000"/>
            <w:sz w:val="28"/>
            <w:szCs w:val="28"/>
            <w:u w:val="none"/>
          </w:rPr>
          <w:t>правила</w:t>
        </w:r>
      </w:hyperlink>
      <w:r>
        <w:rPr>
          <w:rFonts w:ascii="Times New Roman" w:hAnsi="Times New Roman" w:cs="Times New Roman"/>
          <w:color w:val="000000"/>
          <w:sz w:val="28"/>
          <w:szCs w:val="28"/>
        </w:rPr>
        <w:t xml:space="preserve">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Руководящие документы (РД, СО)</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РД 52.04.212-86 (ОНД 86) «</w:t>
      </w:r>
      <w:hyperlink r:id="rId259" w:tooltip="&quot;Методика расчета концентраций в атмосферном воздухе вредных веществ, содержащихся в выбросах предприятий (ОНД-86)&quot; (утв. Госкомгидрометом СССР 04.08.1986 N 192){КонсультантПлюс}" w:history="1">
        <w:r>
          <w:rPr>
            <w:rStyle w:val="Hyperlink"/>
            <w:rFonts w:ascii="Times New Roman" w:hAnsi="Times New Roman"/>
            <w:color w:val="000000"/>
            <w:sz w:val="28"/>
            <w:szCs w:val="28"/>
            <w:u w:val="none"/>
          </w:rPr>
          <w:t>Методика</w:t>
        </w:r>
      </w:hyperlink>
      <w:r>
        <w:rPr>
          <w:rFonts w:ascii="Times New Roman" w:hAnsi="Times New Roman" w:cs="Times New Roman"/>
          <w:color w:val="000000"/>
          <w:sz w:val="28"/>
          <w:szCs w:val="28"/>
        </w:rPr>
        <w:t xml:space="preserve"> расчета концентраций в атмосферном воздухе вредных веществ, содержащихся в выбросах предприятий»;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РД 34.20.185-94 (СО 153-34.20.185-94) «Инструкция по проектированию городских электрических сетей»;</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РД 45.120-2000 (НТП 112-2000) «Нормы технологического проектирования. Городские и сельские телефонные сети»;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СО 153-34.21.122-2003 «</w:t>
      </w:r>
      <w:hyperlink r:id="rId260" w:tooltip="Приказ Минэнерго РФ от 30.06.2003 N 280 &quot;Об утверждении Инструкции по устройству молниезащиты зданий, сооружений и промышленных коммуникаций&quot;{КонсультантПлюс}" w:history="1">
        <w:r>
          <w:rPr>
            <w:rStyle w:val="Hyperlink"/>
            <w:rFonts w:ascii="Times New Roman" w:hAnsi="Times New Roman"/>
            <w:color w:val="000000"/>
            <w:sz w:val="28"/>
            <w:szCs w:val="28"/>
            <w:u w:val="none"/>
          </w:rPr>
          <w:t>Инструкция</w:t>
        </w:r>
      </w:hyperlink>
      <w:r>
        <w:rPr>
          <w:rFonts w:ascii="Times New Roman" w:hAnsi="Times New Roman" w:cs="Times New Roman"/>
          <w:color w:val="000000"/>
          <w:sz w:val="28"/>
          <w:szCs w:val="28"/>
        </w:rPr>
        <w:t xml:space="preserve"> по устройству молниезащиты зданий, сооружений и промышленных коммуникаций».</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Руководящие документы в строительстве (РДС)</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РДС 35-201-99 «Порядок реализации требований доступности для инвалидов к объектам социальной инфраструктуры».</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2"/>
        <w:rPr>
          <w:rFonts w:ascii="Times New Roman" w:hAnsi="Times New Roman" w:cs="Times New Roman"/>
          <w:color w:val="000000"/>
          <w:sz w:val="28"/>
          <w:szCs w:val="28"/>
        </w:rPr>
      </w:pPr>
      <w:r>
        <w:rPr>
          <w:rFonts w:ascii="Times New Roman" w:hAnsi="Times New Roman" w:cs="Times New Roman"/>
          <w:color w:val="000000"/>
          <w:sz w:val="28"/>
          <w:szCs w:val="28"/>
        </w:rPr>
        <w:t>Методические документы в строительстве (МДС)</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30-1.99 «Методические рекомендации по разработке схем зонирования территории городов»;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32-1.2000 «Рекомендации по проектированию вокзалов»;</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Правила и область применения расчетных показателей</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Нормативы градостроительного проектирования муниципального образования Лебяжинский сельсовет Егорьевского района Алтайского края применяются при подготовке, согласовании документов территориального планирования и документации по планировке территории муниципального образований, а также для принятия решений в области градостроительной деятельности органами местного самоуправления.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муниципального образования Лебяжинский сельсовет Егорьевского района Алтайского края, показатели, характеризующие территорию Егорьевского района Алтайского края по сейсмическому районированию.</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w:t>
      </w:r>
      <w:hyperlink r:id="rId261" w:tooltip="Федеральный закон от 27.12.2002 N 184-ФЗ (ред. от 05.04.2016) &quot;О техническом регулировании&quot;{КонсультантПлюс}" w:history="1">
        <w:r>
          <w:rPr>
            <w:rStyle w:val="Hyperlink"/>
            <w:rFonts w:ascii="Times New Roman" w:hAnsi="Times New Roman"/>
            <w:color w:val="000000"/>
            <w:sz w:val="28"/>
            <w:szCs w:val="28"/>
            <w:u w:val="none"/>
          </w:rPr>
          <w:t>закона</w:t>
        </w:r>
      </w:hyperlink>
      <w:r>
        <w:rPr>
          <w:rFonts w:ascii="Times New Roman" w:hAnsi="Times New Roman" w:cs="Times New Roman"/>
          <w:sz w:val="28"/>
          <w:szCs w:val="28"/>
        </w:rPr>
        <w:t xml:space="preserve">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Утверждение местных нормативов градостроительного проектирования муниципального образования Лебяжинский сельсовет Егорьевского района Алтайского края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органа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Нормативы обязательны для всех субъектов градостроительной деятельности, осуществляющих свою деятельность на территории муниципального образования Лебяжинский сельсовет Егорьевского района Алтайского края, независимо от их организационно-правовой формы.</w:t>
      </w:r>
    </w:p>
    <w:p w:rsidR="00AA422F" w:rsidRDefault="00AA422F" w:rsidP="00434EF1">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Приложение А</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(справочное)</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к нормативам градостроительного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проектирования муниципального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образования Лебяжинский сельсовет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Егорьевского района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Алтайского края</w:t>
      </w:r>
    </w:p>
    <w:p w:rsidR="00AA422F" w:rsidRDefault="00AA422F" w:rsidP="00434EF1">
      <w:pPr>
        <w:pStyle w:val="ConsPlusNormal"/>
        <w:jc w:val="right"/>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bookmarkStart w:id="40" w:name="Par2764"/>
      <w:bookmarkEnd w:id="40"/>
      <w:r>
        <w:rPr>
          <w:rFonts w:ascii="Times New Roman" w:hAnsi="Times New Roman" w:cs="Times New Roman"/>
          <w:sz w:val="28"/>
          <w:szCs w:val="28"/>
        </w:rPr>
        <w:t>Термины и определения</w:t>
      </w:r>
    </w:p>
    <w:p w:rsidR="00AA422F" w:rsidRDefault="00AA422F" w:rsidP="00434EF1">
      <w:pPr>
        <w:pStyle w:val="ConsPlusNormal"/>
        <w:jc w:val="center"/>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Автостоянка - здание, сооружение (часть здания, сооружения) или специальная открытая площадка, предназначенные для хранения автомототранспортных средств.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Автостоянка гостевая, паркинг - открытая площадка, предназначенная для кратковременного хранения (стоянки) легковых автомобилей.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Автостоянка механизированная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Автостоянка надземная закрытого типа - автостоянка с наружными стеновыми ограждениями.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Автостоянка надземная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Береговая полоса - полоса земли вдоль береговой линии водного объекта общего пользования, которая предназначена для общего пользования.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Градостроительные нормативы -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муниципального образования Лебяжинский сельсовет  Егорьевского района Алтайского края. Границы населенных пунктов отделяют земли населенных пунктов от земель иных категорий.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Границы территорий объектов культурного наследия (памятников, ансамблей и достопримечательных мест) - границы земельных участков, непосредственно занимаемых памятниками, и связанные с ними исторически и функционально.</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Границы охранных зон особо охраняемых природных территорий -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Граница береговой полосы - граница полосы земли вдоль береговой линии водного объекта общего пользования, предназначенная для общего пользования.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Границы водоохранных зон -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Границы зон санитарной охраны источников питьевого водоснабжения -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границы I пояса зоны санитарной охраны - границы территории расположения водозаборов, площадок всех водопроводных сооружений и водопроводящего канала;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границы II и III поясов зоны санитарной охраны - границы территории, предназначенной для предупреждения загрязнения воды источников водоснабжения.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муниципального образования, схема территориального планирования и др.) за пределами промышленной площадки обозначается специальными информационными знаками.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Границы территорий, подверженных риску возникновения чрезвычайных ситуаций природного и техногенного характера -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Документы территориального планирования - схема территориального планирования муниципального образования Лебяжинский сельсовет Егорьевского района Алтайского края, генеральный план муниципального образования Лебяжинский сельсовет Егорьевского района Алтайского края. Состав, порядок подготовки документов территориального планирования устанавливаются в соответствии с </w:t>
      </w:r>
      <w:r>
        <w:rPr>
          <w:rFonts w:ascii="Times New Roman" w:hAnsi="Times New Roman" w:cs="Times New Roman"/>
          <w:color w:val="000000"/>
          <w:sz w:val="28"/>
          <w:szCs w:val="28"/>
        </w:rPr>
        <w:t xml:space="preserve">Градостроительным </w:t>
      </w:r>
      <w:hyperlink r:id="rId262" w:tooltip="&quot;Градостроительный кодекс Российской Федерации&quot; от 29.12.2004 N 190-ФЗ (ред. от 03.07.2016) (с изм. и доп., вступ. в силу с 01.09.2016){КонсультантПлюс}" w:history="1">
        <w:r>
          <w:rPr>
            <w:rStyle w:val="Hyperlink"/>
            <w:rFonts w:ascii="Times New Roman" w:hAnsi="Times New Roman"/>
            <w:color w:val="000000"/>
            <w:sz w:val="28"/>
            <w:szCs w:val="28"/>
            <w:u w:val="none"/>
          </w:rPr>
          <w:t>кодексом</w:t>
        </w:r>
      </w:hyperlink>
      <w:r>
        <w:rPr>
          <w:rFonts w:ascii="Times New Roman" w:hAnsi="Times New Roman" w:cs="Times New Roman"/>
          <w:sz w:val="28"/>
          <w:szCs w:val="28"/>
        </w:rPr>
        <w:t xml:space="preserve"> Российской Федерации, законами и иными нормативными правовыми актами Алтайского края, нормативными правовыми актами органов местного самоуправления.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Документация по планировке территории -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w:t>
      </w:r>
      <w:r>
        <w:rPr>
          <w:rFonts w:ascii="Times New Roman" w:hAnsi="Times New Roman" w:cs="Times New Roman"/>
          <w:color w:val="000000"/>
          <w:sz w:val="28"/>
          <w:szCs w:val="28"/>
        </w:rPr>
        <w:t xml:space="preserve">Градостроительным </w:t>
      </w:r>
      <w:hyperlink r:id="rId263" w:tooltip="&quot;Градостроительный кодекс Российской Федерации&quot; от 29.12.2004 N 190-ФЗ (ред. от 03.07.2016) (с изм. и доп., вступ. в силу с 01.09.2016){КонсультантПлюс}" w:history="1">
        <w:r>
          <w:rPr>
            <w:rStyle w:val="Hyperlink"/>
            <w:rFonts w:ascii="Times New Roman" w:hAnsi="Times New Roman"/>
            <w:color w:val="000000"/>
            <w:sz w:val="28"/>
            <w:szCs w:val="28"/>
            <w:u w:val="none"/>
          </w:rPr>
          <w:t>кодексом</w:t>
        </w:r>
      </w:hyperlink>
      <w:r>
        <w:rPr>
          <w:rFonts w:ascii="Times New Roman" w:hAnsi="Times New Roman" w:cs="Times New Roman"/>
          <w:sz w:val="28"/>
          <w:szCs w:val="28"/>
        </w:rPr>
        <w:t xml:space="preserve"> Российской Федерации, законами и иными нормативными правовыми актами Алтайского края, нормативными правовыми актами органов местного самоуправления.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Дом жилой индивидуальный - отдельно стоящий жилой дом с количеством этажей не более чем три, предназначенный для проживания одной семьи.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Дом жилой блокированный -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Дом жилой секционный -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Дом коттеджного типа - малоэтажный одноквартирный жилой дом.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Жилой район - структурный элемент жилой зоны. Жилой район формируется как группа микрорайонов (кварталов), как правило, в пределах территории, ограниченной магистралями, естественными рубежами (река, лес и др.); в пределах территории жилого района размещаются организации с радиусом обслуживания населения не более 1500 м, а также часть объектов городского значения.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Защита населения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Земельный участок - часть поверхности земли (в том числе почвенный слой), границы которой описаны и удостоверены в установленном порядке.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Зоны с особыми условиями использования территорий -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и другие подобные сооружения.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Микрорайон (квартал) -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Муниципальное образование - сельское поселение, муниципальный район.</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Населенный пункт - часть территории соответствующего муниципального образования Лебяжинский сельсовет Егорьевского района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Нестационарный объект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Нормативы градостроительного проектирования (местные)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Объекты вспомогательного назначения -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w:t>
      </w:r>
      <w:hyperlink r:id="rId264" w:tooltip="&quot;Градостроительный кодекс Российской Федерации&quot; от 29.12.2004 N 190-ФЗ (ред. от 03.07.2016) (с изм. и доп., вступ. в силу с 01.09.2016){КонсультантПлюс}" w:history="1">
        <w:r>
          <w:rPr>
            <w:rStyle w:val="Hyperlink"/>
            <w:rFonts w:ascii="Times New Roman" w:hAnsi="Times New Roman"/>
            <w:color w:val="000000"/>
            <w:sz w:val="28"/>
            <w:szCs w:val="28"/>
            <w:u w:val="none"/>
          </w:rPr>
          <w:t>пункте 1 части 17 статьи 51</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Градостроительного кодекса Российской Федерации) и другие подобные хозяйственные постройки).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Объекты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Пешеходная зона -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Поселение - сельское поселение.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Приквартирный участок - земельный участок, примыкающий к квартире (дому), с непосредственным выходом на него.</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Процент застройки - отношение суммарной площади земельного участка, которая может быть застроена, ко всей площади земельного участка.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Развитие застроенных территорий - комплекс работ по реконструкции территорий, проводимых в соответствии с требованиями </w:t>
      </w:r>
      <w:hyperlink r:id="rId265" w:tooltip="&quot;Градостроительный кодекс Российской Федерации&quot; от 29.12.2004 N 190-ФЗ (ред. от 03.07.2016) (с изм. и доп., вступ. в силу с 01.09.2016){КонсультантПлюс}" w:history="1">
        <w:r>
          <w:rPr>
            <w:rStyle w:val="Hyperlink"/>
            <w:rFonts w:ascii="Times New Roman" w:hAnsi="Times New Roman"/>
            <w:color w:val="000000"/>
            <w:sz w:val="28"/>
            <w:szCs w:val="28"/>
            <w:u w:val="none"/>
          </w:rPr>
          <w:t>статей 46.1</w:t>
        </w:r>
      </w:hyperlink>
      <w:r>
        <w:rPr>
          <w:rFonts w:ascii="Times New Roman" w:hAnsi="Times New Roman" w:cs="Times New Roman"/>
          <w:color w:val="000000"/>
          <w:sz w:val="28"/>
          <w:szCs w:val="28"/>
        </w:rPr>
        <w:t xml:space="preserve"> - </w:t>
      </w:r>
      <w:hyperlink r:id="rId266" w:tooltip="&quot;Градостроительный кодекс Российской Федерации&quot; от 29.12.2004 N 190-ФЗ (ред. от 03.07.2016) (с изм. и доп., вступ. в силу с 01.09.2016){КонсультантПлюс}" w:history="1">
        <w:r>
          <w:rPr>
            <w:rStyle w:val="Hyperlink"/>
            <w:rFonts w:ascii="Times New Roman" w:hAnsi="Times New Roman"/>
            <w:color w:val="000000"/>
            <w:sz w:val="28"/>
            <w:szCs w:val="28"/>
            <w:u w:val="none"/>
          </w:rPr>
          <w:t>46.3</w:t>
        </w:r>
      </w:hyperlink>
      <w:r>
        <w:rPr>
          <w:rFonts w:ascii="Times New Roman" w:hAnsi="Times New Roman" w:cs="Times New Roman"/>
          <w:color w:val="000000"/>
          <w:sz w:val="28"/>
          <w:szCs w:val="28"/>
        </w:rPr>
        <w:t xml:space="preserve"> </w:t>
      </w:r>
      <w:r>
        <w:rPr>
          <w:rFonts w:ascii="Times New Roman" w:hAnsi="Times New Roman" w:cs="Times New Roman"/>
          <w:sz w:val="28"/>
          <w:szCs w:val="28"/>
        </w:rPr>
        <w:t>Градостроительного кодекса Российской Федерации.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Реконструкция территорий -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Санитарно-защитная зона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Сельское поселение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пешеходная и парковая дорога, дорога в научно-производственных, промышленных и коммунально-складских зонах (районах).</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Функциональные зоны - зоны, для которых документами территориального планирования определены границы и функциональное назначение.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1"/>
        <w:rPr>
          <w:rFonts w:ascii="Times New Roman" w:hAnsi="Times New Roman" w:cs="Times New Roman"/>
          <w:color w:val="000000"/>
          <w:sz w:val="28"/>
          <w:szCs w:val="28"/>
        </w:rPr>
      </w:pPr>
      <w:r>
        <w:rPr>
          <w:rFonts w:ascii="Times New Roman" w:hAnsi="Times New Roman" w:cs="Times New Roman"/>
          <w:color w:val="000000"/>
          <w:sz w:val="28"/>
          <w:szCs w:val="28"/>
        </w:rPr>
        <w:t>Приложение Б</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(рекомендуемое)</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к нормативам градостроительного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проектирования муниципального</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образования Лебяжинский сельсовет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Егорьевского района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Алтайского края</w:t>
      </w:r>
    </w:p>
    <w:p w:rsidR="00AA422F" w:rsidRDefault="00AA422F" w:rsidP="00434EF1">
      <w:pPr>
        <w:pStyle w:val="ConsPlusNormal"/>
        <w:jc w:val="right"/>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Размеры</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приусадебных и приквартирных земельных участков</w:t>
      </w:r>
    </w:p>
    <w:p w:rsidR="00AA422F" w:rsidRDefault="00AA422F" w:rsidP="00434EF1">
      <w:pPr>
        <w:pStyle w:val="ConsPlusNormal"/>
        <w:jc w:val="both"/>
        <w:rPr>
          <w:rFonts w:ascii="Times New Roman" w:hAnsi="Times New Roman" w:cs="Times New Roman"/>
          <w:sz w:val="28"/>
          <w:szCs w:val="28"/>
        </w:rPr>
      </w:pPr>
      <w:bookmarkStart w:id="41" w:name="Par2853"/>
      <w:bookmarkEnd w:id="41"/>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AA422F" w:rsidRDefault="00AA422F" w:rsidP="00434EF1">
      <w:pPr>
        <w:pStyle w:val="NormalWeb"/>
        <w:widowControl w:val="0"/>
        <w:tabs>
          <w:tab w:val="left" w:pos="720"/>
        </w:tabs>
        <w:ind w:firstLine="720"/>
        <w:jc w:val="both"/>
        <w:rPr>
          <w:sz w:val="28"/>
          <w:szCs w:val="28"/>
        </w:rPr>
      </w:pPr>
      <w:r>
        <w:rPr>
          <w:sz w:val="28"/>
          <w:szCs w:val="28"/>
        </w:rPr>
        <w:t>600 - 2500 кв. м  для индивидуального жилищного строительства предназначенного для застройки малоэтажными жилыми домами, жилыми домами усадебного типа с количеством этажей не более 3.</w:t>
      </w:r>
    </w:p>
    <w:p w:rsidR="00AA422F" w:rsidRDefault="00AA422F" w:rsidP="00434EF1">
      <w:pPr>
        <w:pStyle w:val="NormalWeb"/>
        <w:widowControl w:val="0"/>
        <w:tabs>
          <w:tab w:val="left" w:pos="720"/>
        </w:tabs>
        <w:ind w:firstLine="720"/>
        <w:jc w:val="both"/>
        <w:rPr>
          <w:sz w:val="28"/>
          <w:szCs w:val="28"/>
        </w:rPr>
      </w:pPr>
      <w:r>
        <w:rPr>
          <w:sz w:val="28"/>
          <w:szCs w:val="28"/>
        </w:rPr>
        <w:t>600 – 7500 кв.м. для приусадебного участка личного подсобного хозяйства,</w:t>
      </w:r>
      <w:r>
        <w:t xml:space="preserve"> </w:t>
      </w:r>
      <w:r>
        <w:rPr>
          <w:sz w:val="28"/>
          <w:szCs w:val="28"/>
        </w:rPr>
        <w:t>предназначенного для застройки малоэтажными жилыми домами, жилыми домами усадебного типа с количеством этажей не более 3-х.</w:t>
      </w:r>
    </w:p>
    <w:p w:rsidR="00AA422F" w:rsidRDefault="00AA422F" w:rsidP="00434EF1">
      <w:pPr>
        <w:pStyle w:val="NormalWeb"/>
        <w:widowControl w:val="0"/>
        <w:tabs>
          <w:tab w:val="left" w:pos="720"/>
        </w:tabs>
        <w:ind w:firstLine="720"/>
        <w:jc w:val="both"/>
        <w:rPr>
          <w:sz w:val="28"/>
          <w:szCs w:val="28"/>
        </w:rPr>
      </w:pPr>
      <w:r>
        <w:rPr>
          <w:sz w:val="28"/>
          <w:szCs w:val="28"/>
        </w:rPr>
        <w:t>Не менее 1000- не более 7500 кв. м для многоквартирного жилого дома с количеством этажей не более 4-х.</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Приложение В</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(рекомендуемое)</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к нормативам</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градостроительного проектирования</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проектирования муниципального</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образования Лебяжинский сельсовет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Егорьевского района  Алтайского края</w:t>
      </w:r>
    </w:p>
    <w:p w:rsidR="00AA422F" w:rsidRDefault="00AA422F" w:rsidP="00434EF1">
      <w:pPr>
        <w:pStyle w:val="ConsPlusNormal"/>
        <w:jc w:val="right"/>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Нормативные показатели</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плотности застройки территориальных зон</w:t>
      </w:r>
    </w:p>
    <w:p w:rsidR="00AA422F" w:rsidRDefault="00AA422F" w:rsidP="00434EF1">
      <w:pPr>
        <w:pStyle w:val="ConsPlusNormal"/>
        <w:jc w:val="both"/>
        <w:rPr>
          <w:rFonts w:ascii="Times New Roman" w:hAnsi="Times New Roman" w:cs="Times New Roman"/>
          <w:sz w:val="28"/>
          <w:szCs w:val="28"/>
        </w:rPr>
      </w:pPr>
      <w:bookmarkStart w:id="42" w:name="Par2872"/>
      <w:bookmarkEnd w:id="42"/>
    </w:p>
    <w:tbl>
      <w:tblPr>
        <w:tblW w:w="0" w:type="auto"/>
        <w:tblInd w:w="62" w:type="dxa"/>
        <w:tblLayout w:type="fixed"/>
        <w:tblCellMar>
          <w:top w:w="102" w:type="dxa"/>
          <w:left w:w="62" w:type="dxa"/>
          <w:bottom w:w="102" w:type="dxa"/>
          <w:right w:w="62" w:type="dxa"/>
        </w:tblCellMar>
        <w:tblLook w:val="0000"/>
      </w:tblPr>
      <w:tblGrid>
        <w:gridCol w:w="5783"/>
        <w:gridCol w:w="1848"/>
        <w:gridCol w:w="1984"/>
      </w:tblGrid>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Территориальные зоны</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Коэффициент</w:t>
            </w:r>
          </w:p>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застройки</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Коэффициент плотности застройки</w:t>
            </w:r>
          </w:p>
        </w:tc>
      </w:tr>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Жилая</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Застройка многоквартирными многоэтажными жилыми домами</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0,4</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1,2</w:t>
            </w:r>
          </w:p>
        </w:tc>
      </w:tr>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То же - при реконструкции</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0,6</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1,6</w:t>
            </w:r>
          </w:p>
        </w:tc>
      </w:tr>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Застройка многоквартирными жилыми домами малой и средней этажности</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0,4</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0,8</w:t>
            </w:r>
          </w:p>
        </w:tc>
      </w:tr>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Застройка блокированными жилыми домами с приквартирными земельными участками</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0,3</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0,6</w:t>
            </w:r>
          </w:p>
        </w:tc>
      </w:tr>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Застройка одно-, двухквартирными жилыми домами с приусадебными земельными участками</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0,2</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0,4</w:t>
            </w:r>
          </w:p>
        </w:tc>
      </w:tr>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Общественно-деловая</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Многофункциональная застройка</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r>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Специализированная общественная застройка</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0,8</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2,4</w:t>
            </w:r>
          </w:p>
        </w:tc>
      </w:tr>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Производственная</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Промышленная</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0,8</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2,4</w:t>
            </w:r>
          </w:p>
        </w:tc>
      </w:tr>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Научно-производственная </w:t>
            </w:r>
            <w:hyperlink r:id="rId267" w:anchor="Par2920#Par2920" w:tooltip="&lt;*&gt; Без учета опытных полей и полигонов, резервных территорий и санитарно-защитных зон." w:history="1">
              <w:r>
                <w:rPr>
                  <w:rStyle w:val="Hyperlink"/>
                  <w:rFonts w:ascii="Times New Roman" w:hAnsi="Times New Roman"/>
                  <w:color w:val="000000"/>
                  <w:sz w:val="28"/>
                  <w:szCs w:val="28"/>
                  <w:u w:val="none"/>
                </w:rPr>
                <w:t>&lt;*&gt;</w:t>
              </w:r>
            </w:hyperlink>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0,6</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r>
      <w:tr w:rsidR="00AA422F">
        <w:tc>
          <w:tcPr>
            <w:tcW w:w="578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Коммунально-складская</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0,6</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1,8</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p>
    <w:p w:rsidR="00AA422F" w:rsidRDefault="00AA422F" w:rsidP="00434EF1">
      <w:pPr>
        <w:pStyle w:val="ConsPlusNormal"/>
        <w:ind w:firstLine="540"/>
        <w:jc w:val="both"/>
        <w:rPr>
          <w:rFonts w:ascii="Times New Roman" w:hAnsi="Times New Roman" w:cs="Times New Roman"/>
          <w:sz w:val="28"/>
          <w:szCs w:val="28"/>
        </w:rPr>
      </w:pPr>
      <w:bookmarkStart w:id="43" w:name="Par2920"/>
      <w:bookmarkEnd w:id="43"/>
      <w:r>
        <w:rPr>
          <w:rFonts w:ascii="Times New Roman" w:hAnsi="Times New Roman" w:cs="Times New Roman"/>
          <w:sz w:val="28"/>
          <w:szCs w:val="28"/>
        </w:rPr>
        <w:t>&lt;*&gt; Без учета опытных полей и полигонов, резервных территорий и санитарно-защитных зон.</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Границами кварталов являются красные линии.</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учитывать имеющиеся в соседних кварталах организации обслуживания при соблюдении нормативных радиусов их доступности (кроме дошкольных образовательных организаций и общеобразовательных организаций, осуществляющих образовательную деятельность по программам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w:t>
      </w:r>
      <w:r>
        <w:rPr>
          <w:rFonts w:ascii="Times New Roman" w:hAnsi="Times New Roman" w:cs="Times New Roman"/>
          <w:color w:val="000000"/>
          <w:sz w:val="28"/>
          <w:szCs w:val="28"/>
        </w:rPr>
        <w:t>учетом главы 26.</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Приложение Г</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(рекомендуемое)</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к нормативам</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градостроительного проектирования</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проектирования муниципального</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образования Лебяжинский сельсовет</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Егорьевского района Алтайского края</w:t>
      </w:r>
    </w:p>
    <w:p w:rsidR="00AA422F" w:rsidRDefault="00AA422F" w:rsidP="00434EF1">
      <w:pPr>
        <w:pStyle w:val="ConsPlusNormal"/>
        <w:jc w:val="center"/>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Плотность</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застройки кварталов, занимаемых промышленными, сельскохозяйственными и другими производственными объектами</w:t>
      </w:r>
    </w:p>
    <w:p w:rsidR="00AA422F" w:rsidRDefault="00AA422F" w:rsidP="00434EF1">
      <w:pPr>
        <w:pStyle w:val="ConsPlusNormal"/>
        <w:jc w:val="center"/>
        <w:rPr>
          <w:rFonts w:ascii="Times New Roman" w:hAnsi="Times New Roman" w:cs="Times New Roman"/>
          <w:sz w:val="28"/>
          <w:szCs w:val="28"/>
        </w:rPr>
      </w:pPr>
      <w:bookmarkStart w:id="44" w:name="Par2939"/>
      <w:bookmarkEnd w:id="44"/>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Г-1</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Показатели минимальной плотности застройки</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площадок промышленных предприятий</w:t>
      </w:r>
    </w:p>
    <w:p w:rsidR="00AA422F" w:rsidRDefault="00AA422F" w:rsidP="00434EF1">
      <w:pPr>
        <w:pStyle w:val="ConsPlusNormal"/>
        <w:jc w:val="both"/>
        <w:rPr>
          <w:rFonts w:ascii="Times New Roman" w:hAnsi="Times New Roman" w:cs="Times New Roman"/>
          <w:b/>
          <w:bCs/>
          <w:sz w:val="28"/>
          <w:szCs w:val="28"/>
        </w:rPr>
      </w:pPr>
    </w:p>
    <w:tbl>
      <w:tblPr>
        <w:tblW w:w="0" w:type="auto"/>
        <w:tblInd w:w="62" w:type="dxa"/>
        <w:tblLayout w:type="fixed"/>
        <w:tblCellMar>
          <w:top w:w="102" w:type="dxa"/>
          <w:left w:w="62" w:type="dxa"/>
          <w:bottom w:w="102" w:type="dxa"/>
          <w:right w:w="62" w:type="dxa"/>
        </w:tblCellMar>
        <w:tblLook w:val="0000"/>
      </w:tblPr>
      <w:tblGrid>
        <w:gridCol w:w="2268"/>
        <w:gridCol w:w="5499"/>
        <w:gridCol w:w="1757"/>
      </w:tblGrid>
      <w:tr w:rsidR="00AA422F">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Отрасли промышленности</w:t>
            </w: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Предприятия (производства)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Минимальная плотность застройки, %</w:t>
            </w:r>
          </w:p>
        </w:tc>
      </w:tr>
      <w:tr w:rsidR="00AA422F">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AA422F">
        <w:tc>
          <w:tcPr>
            <w:tcW w:w="2268"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Пищевая промышленность</w:t>
            </w: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хлеба и хлебобулочных изделий производственной мощностью, т/сутки</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до 45</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37</w:t>
            </w: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кондитерских изделий</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r>
      <w:tr w:rsidR="00AA422F">
        <w:tc>
          <w:tcPr>
            <w:tcW w:w="2268"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Мясная промышленность</w:t>
            </w: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мяса (с цехами убоя и обескровливания)</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40</w:t>
            </w: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мясных консервов, колбас, копченостей и других мясных продуктов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42</w:t>
            </w: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2268"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Рыбное хозяйство</w:t>
            </w: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рыбоперерабатывающие производственной мощностью, т/сутки, до</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10</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40</w:t>
            </w:r>
          </w:p>
        </w:tc>
      </w:tr>
      <w:tr w:rsidR="00AA422F">
        <w:trPr>
          <w:trHeight w:val="870"/>
        </w:trPr>
        <w:tc>
          <w:tcPr>
            <w:tcW w:w="2268"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Транспорт и дорожное хозяйство</w:t>
            </w:r>
          </w:p>
        </w:tc>
        <w:tc>
          <w:tcPr>
            <w:tcW w:w="7256" w:type="dxa"/>
            <w:gridSpan w:val="2"/>
            <w:tcBorders>
              <w:top w:val="single" w:sz="4" w:space="0" w:color="auto"/>
              <w:left w:val="single" w:sz="4" w:space="0" w:color="auto"/>
              <w:bottom w:val="nil"/>
              <w:right w:val="single" w:sz="4" w:space="0" w:color="auto"/>
            </w:tcBorders>
          </w:tcPr>
          <w:p w:rsidR="00AA422F" w:rsidRDefault="00AA422F">
            <w:pPr>
              <w:pStyle w:val="ConsPlusNormal"/>
              <w:rPr>
                <w:rFonts w:ascii="Times New Roman" w:hAnsi="Times New Roman" w:cs="Times New Roman"/>
                <w:sz w:val="28"/>
                <w:szCs w:val="28"/>
              </w:rPr>
            </w:pPr>
            <w:r>
              <w:rPr>
                <w:rFonts w:ascii="Times New Roman" w:hAnsi="Times New Roman" w:cs="Times New Roman"/>
                <w:sz w:val="28"/>
                <w:szCs w:val="28"/>
              </w:rPr>
              <w:t>станции технического обслуживания легковых автомобилей при количестве постов</w:t>
            </w: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5</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10</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28</w:t>
            </w: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25</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50</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40</w:t>
            </w: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автозаправочные станции при количестве заправок в сутки</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200</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13</w:t>
            </w: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более 200</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16</w:t>
            </w: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дорожно-ремонтные пункты</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29</w:t>
            </w: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дорожные участки</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32</w:t>
            </w: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то же с дорожно-ремонтным пунктом</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32</w:t>
            </w:r>
          </w:p>
        </w:tc>
      </w:tr>
      <w:tr w:rsidR="00AA422F">
        <w:tc>
          <w:tcPr>
            <w:tcW w:w="22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то же с дорожно-ремонтным пунктом технической помощи</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34</w:t>
            </w:r>
          </w:p>
        </w:tc>
      </w:tr>
    </w:tbl>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Г-2</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Показатели минимальной плотности застройки</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площадок сельскохозяйственных предприятий</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410"/>
        <w:gridCol w:w="5357"/>
        <w:gridCol w:w="1757"/>
      </w:tblGrid>
      <w:tr w:rsidR="00AA422F">
        <w:tc>
          <w:tcPr>
            <w:tcW w:w="241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Отрасли сельского хозяйства</w:t>
            </w: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Предприятия</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Минимальная плотность застройки, %</w:t>
            </w:r>
          </w:p>
        </w:tc>
      </w:tr>
      <w:tr w:rsidR="00AA422F">
        <w:tc>
          <w:tcPr>
            <w:tcW w:w="2410"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AA422F">
        <w:tc>
          <w:tcPr>
            <w:tcW w:w="2410"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Крупного рогатого скота</w:t>
            </w: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молочные при привязном содержании коров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количество коров в стаде 50 - 60%</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400 коров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51 </w:t>
            </w:r>
            <w:hyperlink r:id="rId268" w:anchor="Par3761#Par3761" w:tooltip="&lt;*&gt; Над чертой приведены показатели для зданий без чердаков, под чертой - с используемыми чердаками." w:history="1">
              <w:r>
                <w:rPr>
                  <w:rStyle w:val="Hyperlink"/>
                  <w:rFonts w:ascii="Times New Roman" w:hAnsi="Times New Roman"/>
                  <w:color w:val="000000"/>
                  <w:sz w:val="28"/>
                  <w:szCs w:val="28"/>
                  <w:u w:val="none"/>
                </w:rPr>
                <w:t>&lt;*&gt;</w:t>
              </w:r>
            </w:hyperlink>
            <w:r>
              <w:rPr>
                <w:rFonts w:ascii="Times New Roman" w:hAnsi="Times New Roman" w:cs="Times New Roman"/>
                <w:color w:val="000000"/>
                <w:sz w:val="28"/>
                <w:szCs w:val="28"/>
              </w:rPr>
              <w:t xml:space="preserve"> / 45</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800 коров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55 / 50</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количество коров в стаде 90%</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400 коров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51 / 45</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800 и 1200 коров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55 / 49</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молочные при беспривязном содержании коров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количество коров в стаде 50, 60 и 90%</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800 коров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53</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1200 коров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56</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2000 коров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мясные и мясные репродукторные на 800 и 1200 коров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52 </w:t>
            </w:r>
            <w:hyperlink r:id="rId269" w:anchor="Par3762#Par3762" w:tooltip="&lt;**&gt; Над чертой приведены показатели при хранении грубых кормов и подстилки под навесами, под чертой - при хранении в скирдах." w:history="1">
              <w:r>
                <w:rPr>
                  <w:rStyle w:val="Hyperlink"/>
                  <w:rFonts w:ascii="Times New Roman" w:hAnsi="Times New Roman"/>
                  <w:color w:val="000000"/>
                  <w:sz w:val="28"/>
                  <w:szCs w:val="28"/>
                  <w:u w:val="none"/>
                </w:rPr>
                <w:t>&lt;**&gt;</w:t>
              </w:r>
            </w:hyperlink>
            <w:r>
              <w:rPr>
                <w:rFonts w:ascii="Times New Roman" w:hAnsi="Times New Roman" w:cs="Times New Roman"/>
                <w:color w:val="000000"/>
                <w:sz w:val="28"/>
                <w:szCs w:val="28"/>
              </w:rPr>
              <w:t xml:space="preserve"> / 35</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доращивания и откорма молодняка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6000 и 12000 скотомест</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45</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выращивания телят, доращивания и откорма молодняка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3000 скотомест</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41</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6000 и 12000 скотомест</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46</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откорма крупного рогатого скота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1000 скотомест</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2000 скотомест</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3000 скотомест</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36</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откормочные площадки на 2000 скотомест</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племенные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молочные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400 коров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45</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800 коров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55</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мясные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400, 600 и 800 коров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40</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выращивания ремонтных телок</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1000 и 2000 скотомест</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52</w:t>
            </w:r>
          </w:p>
        </w:tc>
      </w:tr>
      <w:tr w:rsidR="00AA422F">
        <w:tc>
          <w:tcPr>
            <w:tcW w:w="2410"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Свиноводческие</w:t>
            </w: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товарные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репродукторные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4000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36</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откормочные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6000 и 12000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39</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 законченным производственным циклом на 2000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племенные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100 маток</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38</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200 маток</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40</w:t>
            </w:r>
          </w:p>
        </w:tc>
      </w:tr>
      <w:tr w:rsidR="00AA422F">
        <w:tc>
          <w:tcPr>
            <w:tcW w:w="2410"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Овцеводческие</w:t>
            </w: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размещаемые на одной площадке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шерстные, шерстно-мясные, мясо-сальные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2500 маток</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55</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5000 маток</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мясо-шерстные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2500 маток</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66</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шубные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1200 маток</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56</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откормочные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2500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65</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откормочные площадки для получения каракульчи</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5000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58</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 законченным оборотом стада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мясо-шерстные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2500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мясо-шерстно-молочные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2000 и 4000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63</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шубные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1600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67</w:t>
            </w:r>
          </w:p>
        </w:tc>
      </w:tr>
      <w:tr w:rsidR="00AA422F">
        <w:tc>
          <w:tcPr>
            <w:tcW w:w="2410"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Козоводческие</w:t>
            </w: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пуховые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2500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63</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3000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67</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шерстные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3600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64</w:t>
            </w:r>
          </w:p>
        </w:tc>
      </w:tr>
      <w:tr w:rsidR="00AA422F">
        <w:tc>
          <w:tcPr>
            <w:tcW w:w="2410"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Коневодческие</w:t>
            </w: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50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38</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100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39</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150 голов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40</w:t>
            </w:r>
          </w:p>
        </w:tc>
      </w:tr>
      <w:tr w:rsidR="00AA422F">
        <w:tc>
          <w:tcPr>
            <w:tcW w:w="2410"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Птицеводческие</w:t>
            </w: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яичного направления</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nil"/>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200 тыс. кур-несушек</w:t>
            </w:r>
          </w:p>
        </w:tc>
        <w:tc>
          <w:tcPr>
            <w:tcW w:w="1757" w:type="dxa"/>
            <w:tcBorders>
              <w:top w:val="single" w:sz="4" w:space="0" w:color="auto"/>
              <w:left w:val="single" w:sz="4" w:space="0" w:color="auto"/>
              <w:bottom w:val="nil"/>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28</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nil"/>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300 тыс. кур-несушек</w:t>
            </w:r>
          </w:p>
        </w:tc>
        <w:tc>
          <w:tcPr>
            <w:tcW w:w="1757" w:type="dxa"/>
            <w:tcBorders>
              <w:top w:val="nil"/>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мясного направления</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бройлерные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3 и 6 млн бройлеров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27 </w:t>
            </w:r>
            <w:hyperlink r:id="rId270" w:anchor="Par3763#Par3763" w:tooltip="&lt;***&gt; Над чертой приведены показатели для многоэтажных зданий, под чертой - для одноэтажных." w:history="1">
              <w:r>
                <w:rPr>
                  <w:rStyle w:val="Hyperlink"/>
                  <w:rFonts w:ascii="Times New Roman" w:hAnsi="Times New Roman"/>
                  <w:color w:val="000000"/>
                  <w:sz w:val="28"/>
                  <w:szCs w:val="28"/>
                  <w:u w:val="none"/>
                </w:rPr>
                <w:t>&lt;***&gt;</w:t>
              </w:r>
            </w:hyperlink>
            <w:r>
              <w:rPr>
                <w:rFonts w:ascii="Times New Roman" w:hAnsi="Times New Roman" w:cs="Times New Roman"/>
                <w:color w:val="000000"/>
                <w:sz w:val="28"/>
                <w:szCs w:val="28"/>
              </w:rPr>
              <w:t xml:space="preserve"> / 43</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утиные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65 тыс. утят</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индейководческие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250 тыс. индюшат</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24</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племенные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яичного направления</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племзавод на 50 тыс. кур</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зона взрослой птицы</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зона ремонтного молодняка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28</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мясного направления</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племзавод на 50 тыс. кур</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зона взрослой птицы</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зона ремонтного молодняка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r>
      <w:tr w:rsidR="00AA422F">
        <w:tc>
          <w:tcPr>
            <w:tcW w:w="2410"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Звероводческие и кролиководческие</w:t>
            </w: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звероводческие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кролиководческие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r>
      <w:tr w:rsidR="00AA422F">
        <w:tc>
          <w:tcPr>
            <w:tcW w:w="2410"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Тепличные</w:t>
            </w: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многолетние теплицы общей площадью</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6 га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54</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12 га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56</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18, 24 и 30 га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однопролетные (ангарные) теплицы общей площадью</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до 5 га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41</w:t>
            </w:r>
          </w:p>
        </w:tc>
      </w:tr>
      <w:tr w:rsidR="00AA422F">
        <w:tc>
          <w:tcPr>
            <w:tcW w:w="2410"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 ремонту сельскохозяйственной техники</w:t>
            </w: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центральные ремонтные мастерские для хозяйств с парком</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25 тракторов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50 и 75 тракторов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28</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100 тракторов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150 и 200 тракторов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35</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пункты технического обслуживания бригады или отделения хозяйств с парком</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10, 20 и 30 тракторов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40 и более тракторов</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38</w:t>
            </w:r>
          </w:p>
        </w:tc>
      </w:tr>
      <w:tr w:rsidR="00AA422F">
        <w:tc>
          <w:tcPr>
            <w:tcW w:w="2410"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Прочие предприятия</w:t>
            </w: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 переработке или хранению сельскохозяйственной продукции</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50</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комбикормовые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r>
      <w:tr w:rsidR="00AA422F">
        <w:tc>
          <w:tcPr>
            <w:tcW w:w="2410"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 хранению семян и зерна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28</w:t>
            </w:r>
          </w:p>
        </w:tc>
      </w:tr>
    </w:tbl>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p w:rsidR="00AA422F" w:rsidRDefault="00AA422F" w:rsidP="00434EF1">
      <w:pPr>
        <w:pStyle w:val="ConsPlusNormal"/>
        <w:ind w:firstLine="540"/>
        <w:jc w:val="both"/>
        <w:rPr>
          <w:rFonts w:ascii="Times New Roman" w:hAnsi="Times New Roman" w:cs="Times New Roman"/>
          <w:color w:val="000000"/>
          <w:sz w:val="28"/>
          <w:szCs w:val="28"/>
        </w:rPr>
      </w:pPr>
      <w:bookmarkStart w:id="45" w:name="Par3761"/>
      <w:bookmarkEnd w:id="45"/>
      <w:r>
        <w:rPr>
          <w:rFonts w:ascii="Times New Roman" w:hAnsi="Times New Roman" w:cs="Times New Roman"/>
          <w:color w:val="000000"/>
          <w:sz w:val="28"/>
          <w:szCs w:val="28"/>
        </w:rPr>
        <w:t>&lt;*&gt; Над чертой приведены показатели для зданий без чердаков, под чертой - с используемыми чердаками.</w:t>
      </w:r>
    </w:p>
    <w:p w:rsidR="00AA422F" w:rsidRDefault="00AA422F" w:rsidP="00434EF1">
      <w:pPr>
        <w:pStyle w:val="ConsPlusNormal"/>
        <w:ind w:firstLine="540"/>
        <w:jc w:val="both"/>
        <w:rPr>
          <w:rFonts w:ascii="Times New Roman" w:hAnsi="Times New Roman" w:cs="Times New Roman"/>
          <w:color w:val="000000"/>
          <w:sz w:val="28"/>
          <w:szCs w:val="28"/>
        </w:rPr>
      </w:pPr>
      <w:bookmarkStart w:id="46" w:name="Par3762"/>
      <w:bookmarkEnd w:id="46"/>
      <w:r>
        <w:rPr>
          <w:rFonts w:ascii="Times New Roman" w:hAnsi="Times New Roman" w:cs="Times New Roman"/>
          <w:color w:val="000000"/>
          <w:sz w:val="28"/>
          <w:szCs w:val="28"/>
        </w:rPr>
        <w:t>&lt;**&gt; Над чертой приведены показатели при хранении грубых кормов и подстилки под навесами, под чертой - при хранении в скирдах.</w:t>
      </w:r>
    </w:p>
    <w:p w:rsidR="00AA422F" w:rsidRDefault="00AA422F" w:rsidP="00434EF1">
      <w:pPr>
        <w:pStyle w:val="ConsPlusNormal"/>
        <w:ind w:firstLine="540"/>
        <w:jc w:val="both"/>
        <w:rPr>
          <w:rFonts w:ascii="Times New Roman" w:hAnsi="Times New Roman" w:cs="Times New Roman"/>
          <w:color w:val="000000"/>
          <w:sz w:val="28"/>
          <w:szCs w:val="28"/>
        </w:rPr>
      </w:pPr>
      <w:bookmarkStart w:id="47" w:name="Par3763"/>
      <w:bookmarkEnd w:id="47"/>
      <w:r>
        <w:rPr>
          <w:rFonts w:ascii="Times New Roman" w:hAnsi="Times New Roman" w:cs="Times New Roman"/>
          <w:color w:val="000000"/>
          <w:sz w:val="28"/>
          <w:szCs w:val="28"/>
        </w:rPr>
        <w:t>&lt;***&gt; Над чертой приведены показатели для многоэтажных зданий, под чертой - для одноэтажных.</w:t>
      </w: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Нормативная плотность застройки площадки предприятия определяется в процентах как отношение площади застройки к площади земельного участка.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В площадь застройки не включаются площади, занятые отмостками вокруг зданий и сооружений, тротуарами, автомобильными дорогами,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Минимальную плотность застройки допускается уменьшать (при наличии соответствующих технико-экономических обоснований), но не более чем на 10% установленной настоящим приложением.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 При строительстве сельскохозяйственных предприятий на площадке с уклоном свыше 3%, просадочных грунтах и в сложных инженерно-геологических условиях минимальную плотность застройки допускается уменьшать, но не более чем на 10% установленной настоящим приложением.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Приложение Д</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(рекомендуемое)</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к нормативам</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градостроительного проектирования</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Лебяжинский сельсовет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Егорьевского района Алтайского края</w:t>
      </w:r>
    </w:p>
    <w:p w:rsidR="00AA422F" w:rsidRDefault="00AA422F" w:rsidP="00434EF1">
      <w:pPr>
        <w:pStyle w:val="ConsPlusNormal"/>
        <w:jc w:val="right"/>
        <w:rPr>
          <w:rFonts w:ascii="Times New Roman" w:hAnsi="Times New Roman" w:cs="Times New Roman"/>
          <w:sz w:val="28"/>
          <w:szCs w:val="28"/>
        </w:rPr>
      </w:pPr>
    </w:p>
    <w:p w:rsidR="00AA422F" w:rsidRDefault="00AA422F" w:rsidP="00434EF1">
      <w:pPr>
        <w:pStyle w:val="ConsPlusNormal"/>
        <w:jc w:val="right"/>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Площадь и размеры земельных участков складов</w:t>
      </w:r>
    </w:p>
    <w:p w:rsidR="00AA422F" w:rsidRDefault="00AA422F" w:rsidP="00434EF1">
      <w:pPr>
        <w:pStyle w:val="ConsPlusNormal"/>
        <w:jc w:val="both"/>
        <w:rPr>
          <w:rFonts w:ascii="Times New Roman" w:hAnsi="Times New Roman" w:cs="Times New Roman"/>
          <w:sz w:val="28"/>
          <w:szCs w:val="28"/>
        </w:rPr>
      </w:pPr>
      <w:bookmarkStart w:id="48" w:name="Par3785"/>
      <w:bookmarkEnd w:id="48"/>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Д-1</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Площадь и размеры земельных участков общетоварных складов</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(на 1 тыс. человек)</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678"/>
        <w:gridCol w:w="2693"/>
        <w:gridCol w:w="2835"/>
      </w:tblGrid>
      <w:tr w:rsidR="00AA422F">
        <w:tc>
          <w:tcPr>
            <w:tcW w:w="467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Склады общетоварные</w:t>
            </w:r>
          </w:p>
        </w:tc>
        <w:tc>
          <w:tcPr>
            <w:tcW w:w="26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Площадь складов, кв. м</w:t>
            </w:r>
          </w:p>
        </w:tc>
        <w:tc>
          <w:tcPr>
            <w:tcW w:w="283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Размеры земельных участков, кв. м</w:t>
            </w:r>
          </w:p>
        </w:tc>
      </w:tr>
      <w:tr w:rsidR="00AA422F">
        <w:tc>
          <w:tcPr>
            <w:tcW w:w="467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Продовольственных товаров</w:t>
            </w:r>
          </w:p>
        </w:tc>
        <w:tc>
          <w:tcPr>
            <w:tcW w:w="26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19</w:t>
            </w:r>
          </w:p>
        </w:tc>
        <w:tc>
          <w:tcPr>
            <w:tcW w:w="283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60</w:t>
            </w:r>
          </w:p>
        </w:tc>
      </w:tr>
      <w:tr w:rsidR="00AA422F">
        <w:tc>
          <w:tcPr>
            <w:tcW w:w="467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Непродовольственных товаров</w:t>
            </w:r>
          </w:p>
        </w:tc>
        <w:tc>
          <w:tcPr>
            <w:tcW w:w="26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193</w:t>
            </w:r>
          </w:p>
        </w:tc>
        <w:tc>
          <w:tcPr>
            <w:tcW w:w="283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580</w:t>
            </w:r>
          </w:p>
        </w:tc>
      </w:tr>
    </w:tbl>
    <w:p w:rsidR="00AA422F" w:rsidRDefault="00AA422F" w:rsidP="00434EF1">
      <w:pPr>
        <w:pStyle w:val="ConsPlusNormal"/>
        <w:jc w:val="both"/>
        <w:rPr>
          <w:rFonts w:ascii="Times New Roman" w:hAnsi="Times New Roman" w:cs="Times New Roman"/>
          <w:sz w:val="28"/>
          <w:szCs w:val="28"/>
        </w:rPr>
      </w:pPr>
      <w:bookmarkStart w:id="49" w:name="Par3816"/>
      <w:bookmarkEnd w:id="49"/>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При размещении общетоварных складов в составе специализированных групп размеры земельных участков рекомендуется сокращать до 30%. В зонах досрочного завоза товаров размеры земельных участков следует увеличивать на 40%.</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Д-2</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Вместимость и размеры земельных участков</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специализированных складов (на 1 тыс. человек)</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678"/>
        <w:gridCol w:w="2693"/>
        <w:gridCol w:w="2835"/>
      </w:tblGrid>
      <w:tr w:rsidR="00AA422F">
        <w:tc>
          <w:tcPr>
            <w:tcW w:w="467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Склады специализированные</w:t>
            </w:r>
          </w:p>
        </w:tc>
        <w:tc>
          <w:tcPr>
            <w:tcW w:w="26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Вместимость складов, т</w:t>
            </w:r>
          </w:p>
        </w:tc>
        <w:tc>
          <w:tcPr>
            <w:tcW w:w="283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Размеры земельных участков, кв. м</w:t>
            </w:r>
          </w:p>
        </w:tc>
      </w:tr>
      <w:tr w:rsidR="00AA422F">
        <w:tc>
          <w:tcPr>
            <w:tcW w:w="467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c>
          <w:tcPr>
            <w:tcW w:w="283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r>
      <w:tr w:rsidR="00AA422F">
        <w:tc>
          <w:tcPr>
            <w:tcW w:w="467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Фруктохранилища</w:t>
            </w:r>
          </w:p>
        </w:tc>
        <w:tc>
          <w:tcPr>
            <w:tcW w:w="26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90</w:t>
            </w:r>
          </w:p>
        </w:tc>
        <w:tc>
          <w:tcPr>
            <w:tcW w:w="283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380</w:t>
            </w:r>
          </w:p>
        </w:tc>
      </w:tr>
    </w:tbl>
    <w:p w:rsidR="00AA422F" w:rsidRDefault="00AA422F" w:rsidP="00434EF1">
      <w:pPr>
        <w:pStyle w:val="ConsPlusNormal"/>
        <w:jc w:val="both"/>
        <w:rPr>
          <w:rFonts w:ascii="Times New Roman" w:hAnsi="Times New Roman" w:cs="Times New Roman"/>
          <w:sz w:val="28"/>
          <w:szCs w:val="28"/>
        </w:rPr>
      </w:pPr>
      <w:bookmarkStart w:id="50" w:name="Par3854"/>
      <w:bookmarkEnd w:id="50"/>
      <w:r>
        <w:rPr>
          <w:rFonts w:ascii="Times New Roman" w:hAnsi="Times New Roman" w:cs="Times New Roman"/>
          <w:sz w:val="28"/>
          <w:szCs w:val="28"/>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Д-3</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Размеры земельных участков складов</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строительных материалов и твердого топлива</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(на 1 тыс. человек)</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7087"/>
        <w:gridCol w:w="2438"/>
      </w:tblGrid>
      <w:tr w:rsidR="00AA422F">
        <w:tc>
          <w:tcPr>
            <w:tcW w:w="70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Склады</w:t>
            </w:r>
          </w:p>
        </w:tc>
        <w:tc>
          <w:tcPr>
            <w:tcW w:w="24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Размеры земельных участков, кв. м</w:t>
            </w:r>
          </w:p>
        </w:tc>
      </w:tr>
      <w:tr w:rsidR="00AA422F">
        <w:tc>
          <w:tcPr>
            <w:tcW w:w="70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Склады строительных материалов (потребительские)</w:t>
            </w:r>
          </w:p>
        </w:tc>
        <w:tc>
          <w:tcPr>
            <w:tcW w:w="24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r>
      <w:tr w:rsidR="00AA422F">
        <w:tc>
          <w:tcPr>
            <w:tcW w:w="70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Склады твердого топлива с преимущественным использованием</w:t>
            </w:r>
          </w:p>
        </w:tc>
        <w:tc>
          <w:tcPr>
            <w:tcW w:w="2438"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70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угля</w:t>
            </w:r>
          </w:p>
        </w:tc>
        <w:tc>
          <w:tcPr>
            <w:tcW w:w="24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r>
      <w:tr w:rsidR="00AA422F">
        <w:tc>
          <w:tcPr>
            <w:tcW w:w="708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дров</w:t>
            </w:r>
          </w:p>
        </w:tc>
        <w:tc>
          <w:tcPr>
            <w:tcW w:w="24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1"/>
        <w:rPr>
          <w:rFonts w:ascii="Times New Roman" w:hAnsi="Times New Roman" w:cs="Times New Roman"/>
          <w:sz w:val="28"/>
          <w:szCs w:val="28"/>
        </w:rPr>
      </w:pPr>
      <w:bookmarkStart w:id="51" w:name="Par3879"/>
      <w:bookmarkEnd w:id="51"/>
      <w:r>
        <w:rPr>
          <w:rFonts w:ascii="Times New Roman" w:hAnsi="Times New Roman" w:cs="Times New Roman"/>
          <w:sz w:val="28"/>
          <w:szCs w:val="28"/>
        </w:rPr>
        <w:t>Приложение Е</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(рекомендуемое)</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к нормативам</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градостроительного проектирования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Лебяжинский сельсовет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Егорьевского района</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Алтайского края</w:t>
      </w:r>
    </w:p>
    <w:p w:rsidR="00AA422F" w:rsidRDefault="00AA422F" w:rsidP="00434EF1">
      <w:pPr>
        <w:rPr>
          <w:sz w:val="28"/>
          <w:szCs w:val="28"/>
        </w:rPr>
        <w:sectPr w:rsidR="00AA422F">
          <w:pgSz w:w="11906" w:h="16838"/>
          <w:pgMar w:top="567" w:right="566" w:bottom="1134" w:left="1133" w:header="0" w:footer="0" w:gutter="0"/>
          <w:cols w:space="720"/>
        </w:sectPr>
      </w:pPr>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Е-1</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Нормы расчета учреждений и предприятий</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обслуживания и размеры земельных участков</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544"/>
        <w:gridCol w:w="284"/>
        <w:gridCol w:w="1275"/>
        <w:gridCol w:w="1756"/>
        <w:gridCol w:w="4056"/>
        <w:gridCol w:w="3686"/>
      </w:tblGrid>
      <w:tr w:rsidR="00AA422F">
        <w:tc>
          <w:tcPr>
            <w:tcW w:w="354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Объекты, единица измерения</w:t>
            </w:r>
          </w:p>
        </w:tc>
        <w:tc>
          <w:tcPr>
            <w:tcW w:w="3315"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Расчетный показатель </w:t>
            </w:r>
            <w:hyperlink r:id="rId271" w:anchor="Par4432#Par4432" w:tooltip="&lt;1&gt;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w:history="1">
              <w:r>
                <w:rPr>
                  <w:rStyle w:val="Hyperlink"/>
                  <w:rFonts w:ascii="Times New Roman" w:hAnsi="Times New Roman"/>
                  <w:color w:val="000000"/>
                  <w:sz w:val="28"/>
                  <w:szCs w:val="28"/>
                  <w:u w:val="none"/>
                </w:rPr>
                <w:t>&lt;1&gt;</w:t>
              </w:r>
            </w:hyperlink>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Размеры земельных участков</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Примечания</w:t>
            </w:r>
          </w:p>
        </w:tc>
      </w:tr>
      <w:tr w:rsidR="00AA422F">
        <w:tc>
          <w:tcPr>
            <w:tcW w:w="354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315"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AA422F">
        <w:tc>
          <w:tcPr>
            <w:tcW w:w="14601" w:type="dxa"/>
            <w:gridSpan w:val="6"/>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Образовательные организации</w:t>
            </w:r>
          </w:p>
        </w:tc>
      </w:tr>
      <w:tr w:rsidR="00AA422F">
        <w:tc>
          <w:tcPr>
            <w:tcW w:w="354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Дошкольные образовательные организации, место</w:t>
            </w:r>
          </w:p>
        </w:tc>
        <w:tc>
          <w:tcPr>
            <w:tcW w:w="3315"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w:t>
            </w:r>
            <w:hyperlink r:id="rId272" w:anchor="Par4443#Par4443" w:tooltip="Минимальные расчетные показатели" w:history="1">
              <w:r>
                <w:rPr>
                  <w:rStyle w:val="Hyperlink"/>
                  <w:rFonts w:ascii="Times New Roman" w:hAnsi="Times New Roman"/>
                  <w:color w:val="000000"/>
                  <w:sz w:val="28"/>
                  <w:szCs w:val="28"/>
                  <w:u w:val="none"/>
                </w:rPr>
                <w:t>таблицей Е-2</w:t>
              </w:r>
            </w:hyperlink>
            <w:r>
              <w:rPr>
                <w:rFonts w:ascii="Times New Roman" w:hAnsi="Times New Roman" w:cs="Times New Roman"/>
                <w:color w:val="000000"/>
                <w:sz w:val="28"/>
                <w:szCs w:val="28"/>
              </w:rPr>
              <w:t xml:space="preserve"> настоящего приложения</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w:t>
            </w:r>
            <w:hyperlink r:id="rId273" w:anchor="Par4434#Par4434" w:tooltip="&lt;2&gt;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w:history="1">
              <w:r>
                <w:rPr>
                  <w:rStyle w:val="Hyperlink"/>
                  <w:rFonts w:ascii="Times New Roman" w:hAnsi="Times New Roman"/>
                  <w:color w:val="000000"/>
                  <w:sz w:val="28"/>
                  <w:szCs w:val="28"/>
                  <w:u w:val="none"/>
                </w:rPr>
                <w:t>&lt;2&gt;</w:t>
              </w:r>
            </w:hyperlink>
            <w:r>
              <w:rPr>
                <w:rFonts w:ascii="Times New Roman" w:hAnsi="Times New Roman" w:cs="Times New Roman"/>
                <w:color w:val="000000"/>
                <w:sz w:val="28"/>
                <w:szCs w:val="28"/>
              </w:rPr>
              <w:t xml:space="preserve"> (за счет сокращения площади озеленения)</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площадь групповой площадки для детей ясельного возраста следует принимать 7,5 кв. м на 1 место</w:t>
            </w:r>
          </w:p>
        </w:tc>
      </w:tr>
      <w:tr w:rsidR="00AA422F">
        <w:tc>
          <w:tcPr>
            <w:tcW w:w="354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Крытые бассейны для дошкольников, объект</w:t>
            </w:r>
          </w:p>
        </w:tc>
        <w:tc>
          <w:tcPr>
            <w:tcW w:w="7371" w:type="dxa"/>
            <w:gridSpan w:val="4"/>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по заданию на проектирование</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54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Общеобразовательные школы, учащиеся</w:t>
            </w:r>
          </w:p>
        </w:tc>
        <w:tc>
          <w:tcPr>
            <w:tcW w:w="3315"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школами принимается в соответствии с </w:t>
            </w:r>
            <w:hyperlink r:id="rId274" w:anchor="Par4443#Par4443" w:tooltip="Минимальные расчетные показатели" w:history="1">
              <w:r>
                <w:rPr>
                  <w:rStyle w:val="Hyperlink"/>
                  <w:rFonts w:ascii="Times New Roman" w:hAnsi="Times New Roman"/>
                  <w:color w:val="000000"/>
                  <w:sz w:val="28"/>
                  <w:szCs w:val="28"/>
                  <w:u w:val="none"/>
                </w:rPr>
                <w:t>таблицей Е-2</w:t>
              </w:r>
            </w:hyperlink>
            <w:r>
              <w:rPr>
                <w:rFonts w:ascii="Times New Roman" w:hAnsi="Times New Roman" w:cs="Times New Roman"/>
                <w:color w:val="000000"/>
                <w:sz w:val="28"/>
                <w:szCs w:val="28"/>
              </w:rPr>
              <w:t xml:space="preserve"> приложения</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вместимости общеобразовательной школы </w:t>
            </w:r>
            <w:hyperlink r:id="rId275" w:anchor="Par4435#Par4435" w:tooltip="&lt;3&gt; При наполняемости классов 40 учащимися с учетом площади спортивной зоны и здания школы." w:history="1">
              <w:r>
                <w:rPr>
                  <w:rStyle w:val="Hyperlink"/>
                  <w:rFonts w:ascii="Times New Roman" w:hAnsi="Times New Roman"/>
                  <w:color w:val="000000"/>
                  <w:sz w:val="28"/>
                  <w:szCs w:val="28"/>
                  <w:u w:val="none"/>
                </w:rPr>
                <w:t>&lt;3&gt;</w:t>
              </w:r>
            </w:hyperlink>
            <w:r>
              <w:rPr>
                <w:rFonts w:ascii="Times New Roman" w:hAnsi="Times New Roman" w:cs="Times New Roman"/>
                <w:color w:val="000000"/>
                <w:sz w:val="28"/>
                <w:szCs w:val="28"/>
              </w:rPr>
              <w: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- 16</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AA422F">
        <w:tc>
          <w:tcPr>
            <w:tcW w:w="354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Школы-интернаты, учащиеся</w:t>
            </w:r>
          </w:p>
        </w:tc>
        <w:tc>
          <w:tcPr>
            <w:tcW w:w="3315"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при вместимости общеобразовательной школы-интерната, кв. м на 1 учащегося от 200 до 300 - 70; от 300 до 500 - 65; от 500 и более - 45</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AA422F">
        <w:tc>
          <w:tcPr>
            <w:tcW w:w="354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Внешкольные организации, место </w:t>
            </w:r>
            <w:hyperlink r:id="rId276" w:anchor="Par4436#Par4436" w:tooltip="&lt;4&gt;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 w:history="1">
              <w:r>
                <w:rPr>
                  <w:rStyle w:val="Hyperlink"/>
                  <w:rFonts w:ascii="Times New Roman" w:hAnsi="Times New Roman"/>
                  <w:color w:val="000000"/>
                  <w:sz w:val="28"/>
                  <w:szCs w:val="28"/>
                  <w:u w:val="none"/>
                </w:rPr>
                <w:t>&lt;4&gt;</w:t>
              </w:r>
            </w:hyperlink>
          </w:p>
        </w:tc>
        <w:tc>
          <w:tcPr>
            <w:tcW w:w="3315"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 заданию на проектирование</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 сельских поселениях места для внешкольных организаций рекомендуется предусматривать в зданиях общеобразовательных школ</w:t>
            </w:r>
          </w:p>
        </w:tc>
      </w:tr>
      <w:tr w:rsidR="00AA422F">
        <w:tc>
          <w:tcPr>
            <w:tcW w:w="354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Средние специальные и профессионально-технические учебные заведения, учащиеся</w:t>
            </w:r>
          </w:p>
        </w:tc>
        <w:tc>
          <w:tcPr>
            <w:tcW w:w="3315"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 заданию на проектирование с учетом населения поселений в зоне его влияния</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при вместимости профессионально-технических училищ и средних специальных учебных заведений, кв. м на 1 учащегося: до 300 мест - 75; от 300 до 900 - 50 - 65; от 900 до 1600 - 30 - 40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w:t>
            </w:r>
          </w:p>
        </w:tc>
      </w:tr>
      <w:tr w:rsidR="00AA422F">
        <w:tc>
          <w:tcPr>
            <w:tcW w:w="14601" w:type="dxa"/>
            <w:gridSpan w:val="6"/>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Медицинские организации, организации социального обеспечения, спортивные и физкультурно-оздоровительные сооружения</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Дома-интернаты</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 заданию на проектирование</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нормы расчета учреждений социального обеспечения следует уточнять в зависимости от социально-демографических особенностей региона</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Дома-интернаты для взрослых инвалидов с физическими нарушениями, место на 1 тыс. чел. (с 18 лет)</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Детские дома-интернаты, место на 1 тыс. чел. (от 4 до 17 лет)</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Специальные жилые дома и группы квартир для ветеранов войны и труда и одиноких престарелых, место на 1 тыс. чел. (с 60 лет)</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Специальные жилые дома и группы квартир для инвалидов на креслах-колясках и их семей, место на 1 тыс. чел. всего населения</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0,5</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Медицинские организации</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Стационары всех типов для взрослых с вспомогательными зданиями и сооружениями, койка</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необходимые вместимость и структура лечебно-профилактических медицинских организаций определяются органами здравоохранения и указываются в задании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стационаров. В условиях реконструкции земельные участки больниц допускается уменьшать на 25%. Площадь земельного участка родильных домов следует принимать по нормативам стационаров с коэффициентом 0,7</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Поликлиники, амбулатории, диспансеры без стационара, посещение в смену</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0,1 га на 100 посещений в смену, но не менее 0,3 га</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размеры земельных участков стационара и поликлиники (диспансера), объединенных в одну лечебно-профилактическую медицинскую организацию, определяются раздельно по соответствующим нормам и затем суммируются</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Станции (подстанции) скорой медицинской помощи, автомобиль</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 на 10 тыс. чел. в пределах зоны 15-минутной доступности на специальном автомобиле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0,05 га на 1 автомобиль, но не менее 0,1 га</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Выдвижные пункты скорой медицинской помощи, автомобиль</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 на 5 тыс. чел. сельского населения в пределах зоны 30-минутной доступности на специальном автомобиле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Фельдшерские или фельдшерско-акушерские пункты, объект</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0,2 га</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Аптеки групп</w:t>
            </w:r>
          </w:p>
        </w:tc>
        <w:tc>
          <w:tcPr>
            <w:tcW w:w="3031" w:type="dxa"/>
            <w:gridSpan w:val="2"/>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I - II</w:t>
            </w:r>
          </w:p>
        </w:tc>
        <w:tc>
          <w:tcPr>
            <w:tcW w:w="3031" w:type="dxa"/>
            <w:gridSpan w:val="2"/>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0,3 га или встроенные</w:t>
            </w: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III - V</w:t>
            </w:r>
          </w:p>
        </w:tc>
        <w:tc>
          <w:tcPr>
            <w:tcW w:w="3031" w:type="dxa"/>
            <w:gridSpan w:val="2"/>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0,25</w:t>
            </w: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VI - VIII</w:t>
            </w:r>
          </w:p>
        </w:tc>
        <w:tc>
          <w:tcPr>
            <w:tcW w:w="3031" w:type="dxa"/>
            <w:gridSpan w:val="2"/>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0,2</w:t>
            </w: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Учреждения санаторно-курортные и оздоровительные, отдыха и туризма</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конкретные значения нормативов земельных участков в указанных пределах принимаются по местным условиям. </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Санатории (без туберкулезных),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125 - 150 кв. м на 1 место</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Санатории для родителей с детьми и детские санатории (без туберкулезных),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145 - 170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Санатории-профилактории,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70 - 100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 санаториях-профилакториях, размещаемых в пределах населенного пункта, допускается уменьшать размеры земельных участков, но не более чем на 10%</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Санаторные пионерские лагеря,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200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Дома отдыха (пансионаты),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120 - 130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Дома отдыха (пансионаты) для семей с детьми,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140 - 150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Базы отдыха предприятий и организаций, молодежные лагеря,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140 - 160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Курортные гостиницы,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65 - 75</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Пионерские лагеря,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150 - 200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Оздоровительные лагеря старшеклассников,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175 - 200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Дачи дошкольных учреждений,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120 - 140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Туристские базы,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65 - 80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Туристские базы для семей с детьми,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95 - 120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Мотели,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75 - 100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Кемпинги,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135 - 150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Приюты,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35 - 50</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Физкультурно-спортивные сооружения</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Территория</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0,7 - 0,9 га на 1 тыс. чел.</w:t>
            </w:r>
          </w:p>
        </w:tc>
        <w:tc>
          <w:tcPr>
            <w:tcW w:w="368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Помещения для физкультурно-оздоровительных занятий в микрорайоне, кв. м общей площади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70 - 80</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Спортивные залы общего пользования, кв. м площади пола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60 - 80</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Бассейны крытые и открытые общего пользования, кв. м зеркала воды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20 - 25</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14601" w:type="dxa"/>
            <w:gridSpan w:val="6"/>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Организации культуры и искусства</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Помещения для культурно-массовой работы с населением, досуга и любительской деятельности, кв. м площади пола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50 - 60</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 заданию на проектирование</w:t>
            </w:r>
          </w:p>
        </w:tc>
        <w:tc>
          <w:tcPr>
            <w:tcW w:w="368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w:t>
            </w:r>
          </w:p>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Размещение, вместимость и размеры земельных участков выставочных залов и музеев определяются заданием на проектирование. Кинотеатры предусматривать, как правило - в поселениях с числом жителей не менее 10 тыс. чел. </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Танцевальные залы, место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Клубы, посетительское место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80</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Кинотеатры, место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25 - 35</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то же</w:t>
            </w: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Клубы и библиотеки сельских поселений</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Клубы, посетительское место на 1 тыс. чел. для сельских поселений или их групп,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меньшую вместимость клубов и библиотек следует принимать для крупных поселений</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 0,2 до 1</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500 - 300</w:t>
            </w:r>
          </w:p>
        </w:tc>
        <w:tc>
          <w:tcPr>
            <w:tcW w:w="405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 1 до 2</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300 - 230</w:t>
            </w: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 2 до 5</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230 - 190</w:t>
            </w: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более 5</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190 - 140</w:t>
            </w: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 1 до 2</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nforma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6 - 7,5 тыс. ед. хранения</w:t>
            </w:r>
          </w:p>
          <w:p w:rsidR="00AA422F" w:rsidRDefault="00AA422F">
            <w:pPr>
              <w:pStyle w:val="ConsPlusNonformat"/>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p w:rsidR="00AA422F" w:rsidRDefault="00AA422F">
            <w:pPr>
              <w:pStyle w:val="ConsPlusNonforma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5 - 6 читательских мест</w:t>
            </w:r>
          </w:p>
        </w:tc>
        <w:tc>
          <w:tcPr>
            <w:tcW w:w="405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 2 до 5</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nforma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5 - 6 тыс. ед. хранения</w:t>
            </w:r>
          </w:p>
          <w:p w:rsidR="00AA422F" w:rsidRDefault="00AA422F">
            <w:pPr>
              <w:pStyle w:val="ConsPlusNonformat"/>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p w:rsidR="00AA422F" w:rsidRDefault="00AA422F">
            <w:pPr>
              <w:pStyle w:val="ConsPlusNonforma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4 - 5 читательских места</w:t>
            </w: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 5 до 10</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nforma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4,5 - 5 тыс. ед. хранения</w:t>
            </w:r>
          </w:p>
          <w:p w:rsidR="00AA422F" w:rsidRDefault="00AA422F">
            <w:pPr>
              <w:pStyle w:val="ConsPlusNonformat"/>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p w:rsidR="00AA422F" w:rsidRDefault="00AA422F">
            <w:pPr>
              <w:pStyle w:val="ConsPlusNonforma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3 - 4 читательское место</w:t>
            </w: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Дополнительно в центральной библиотеке местной системы расселения (административный район) на 1 тыс. чел. системы</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nforma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4,5 - 5 тыс. ед. хранения</w:t>
            </w:r>
          </w:p>
          <w:p w:rsidR="00AA422F" w:rsidRDefault="00AA422F">
            <w:pPr>
              <w:pStyle w:val="ConsPlusNonformat"/>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p w:rsidR="00AA422F" w:rsidRDefault="00AA422F">
            <w:pPr>
              <w:pStyle w:val="ConsPlusNonforma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3 - 4 читательских мест</w:t>
            </w: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14601" w:type="dxa"/>
            <w:gridSpan w:val="6"/>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Организации торговли, общественного питания и бытового обслуживания</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сельские поселения</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Магазины, кв. м торговой площади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484 </w:t>
            </w:r>
            <w:hyperlink r:id="rId277" w:anchor="Par4439#Par4439" w:tooltip="&lt;7&gt;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N 754, и устанавливаются для Алтайского края и" w:history="1">
              <w:r>
                <w:rPr>
                  <w:rStyle w:val="Hyperlink"/>
                  <w:rFonts w:ascii="Times New Roman" w:hAnsi="Times New Roman"/>
                  <w:color w:val="000000"/>
                  <w:sz w:val="28"/>
                  <w:szCs w:val="28"/>
                  <w:u w:val="none"/>
                </w:rPr>
                <w:t>&lt;7&gt;</w:t>
              </w:r>
            </w:hyperlink>
          </w:p>
        </w:tc>
        <w:tc>
          <w:tcPr>
            <w:tcW w:w="405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торговые центры местного значения с числом обслуживаемого населения, тыс. чел.: от 4 до 6 - 0,4 - 0,6 га/объект, от 6 до 10 - 0,6 - 0,8; от 10 до 15 - 0,8 - 1,1; от 15 до 20 - 1,1 - 1,3.</w:t>
            </w:r>
          </w:p>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Торговые центры сельских поселений с числом жителей, тыс. чел.: до 1 - 0,1 - 0,2 га; от 1 до 3 - 0,2 - 0,4 га; от 3 до 4 - 0,4 - 0,6 га; от 5 до 6 - 0,6 - 1,0; от 7 до 10 - 1,0 - 1,2.</w:t>
            </w:r>
          </w:p>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368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муниципального образования Егорьевский район Алтайского края и утверждаются в составе документов, определяющих направления социально-экономического развития Алтайского края и муниципального образования Егорьевский район Алтайского края</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 том числе</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продовольственных товаров,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148 </w:t>
            </w:r>
            <w:hyperlink r:id="rId278" w:anchor="Par4439#Par4439" w:tooltip="&lt;7&gt;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N 754, и устанавливаются для Алтайского края и" w:history="1">
              <w:r>
                <w:rPr>
                  <w:rStyle w:val="Hyperlink"/>
                  <w:rFonts w:ascii="Times New Roman" w:hAnsi="Times New Roman"/>
                  <w:color w:val="000000"/>
                  <w:sz w:val="28"/>
                  <w:szCs w:val="28"/>
                  <w:u w:val="none"/>
                </w:rPr>
                <w:t>&lt;7&gt;</w:t>
              </w:r>
            </w:hyperlink>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непродовольственных товаров,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336 </w:t>
            </w:r>
            <w:hyperlink r:id="rId279" w:anchor="Par4439#Par4439" w:tooltip="&lt;7&gt;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N 754, и устанавливаются для Алтайского края и" w:history="1">
              <w:r>
                <w:rPr>
                  <w:rStyle w:val="Hyperlink"/>
                  <w:rFonts w:ascii="Times New Roman" w:hAnsi="Times New Roman"/>
                  <w:color w:val="000000"/>
                  <w:sz w:val="28"/>
                  <w:szCs w:val="28"/>
                  <w:u w:val="none"/>
                </w:rPr>
                <w:t>&lt;7&gt;</w:t>
              </w:r>
            </w:hyperlink>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Розничные рынки, кв. м торговой площади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05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14 кв. м - при торговой площади до 600 кв. м, 7 кв. м - свыше 3000 кв. м</w:t>
            </w:r>
          </w:p>
        </w:tc>
        <w:tc>
          <w:tcPr>
            <w:tcW w:w="368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hyperlink r:id="rId280" w:tooltip="Постановление Администрации Алтайского края от 08.05.2007 N 195 (ред. от 18.12.2014) &quot;Об основных требованиях к торговым местам и размерах площади рынков на территории Алтайского края&quot;{КонсультантПлюс}" w:history="1">
              <w:r>
                <w:rPr>
                  <w:rStyle w:val="Hyperlink"/>
                  <w:rFonts w:ascii="Times New Roman" w:hAnsi="Times New Roman"/>
                  <w:color w:val="000000"/>
                  <w:sz w:val="28"/>
                  <w:szCs w:val="28"/>
                  <w:u w:val="none"/>
                </w:rPr>
                <w:t>Требования</w:t>
              </w:r>
            </w:hyperlink>
            <w:r>
              <w:rPr>
                <w:rFonts w:ascii="Times New Roman" w:hAnsi="Times New Roman" w:cs="Times New Roman"/>
                <w:color w:val="000000"/>
                <w:sz w:val="28"/>
                <w:szCs w:val="28"/>
              </w:rPr>
              <w:t xml:space="preserve"> к торговым местам и размерам площади рынков, тип рынка, минимальная площадь торговых мест определены постановлением Администрации Алтайского края от 08.05.2007 № 195 «Об основных требованиях к торговым местам и размерах площади рынков на территории Алтайского края». Для розничных рынков на 1 торговое место следует принимать 6 кв. м торговой площади</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Минимальная площадь рынка, кв. м</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Минимальные площади на 1 торговое место, в том числе</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лоток</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палатка</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киоск</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павильон</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Предприятия общественного питания, посадочных мест на 1 тыс. чел. в зависимости от численности населения, тыс.</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175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20 (независимо от численности населения)</w:t>
            </w:r>
          </w:p>
        </w:tc>
        <w:tc>
          <w:tcPr>
            <w:tcW w:w="405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при числе мест, га на 100 мест: до 50 - 0,2 - 0,25; от 50 до 150 - 0,2 - 0,15; свыше 150 - 0,1</w:t>
            </w:r>
          </w:p>
        </w:tc>
        <w:tc>
          <w:tcPr>
            <w:tcW w:w="368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Потребность в организации общественного питания на производственных организациях, в дошкольных образовательных и   общеобразовательных организациях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до 50</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7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 50 до 100</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7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 100 до 250</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17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 250 до 500</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c>
          <w:tcPr>
            <w:tcW w:w="17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более 500</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40</w:t>
            </w:r>
          </w:p>
        </w:tc>
        <w:tc>
          <w:tcPr>
            <w:tcW w:w="17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Организации бытового обслуживания, рабочее место на 1 тыс. чел.</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9 (2,0)</w:t>
            </w:r>
          </w:p>
        </w:tc>
        <w:tc>
          <w:tcPr>
            <w:tcW w:w="17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нормативы минимальной обеспеченности населения организациями бытового обслуживания могут дополнительно устанавливаться уполномоченными органами местного самоуправления</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 том числе</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17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непосредственного обслуживания населения</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5(2)</w:t>
            </w:r>
          </w:p>
        </w:tc>
        <w:tc>
          <w:tcPr>
            <w:tcW w:w="17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05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на 10 рабочих мест для предприятий мощностью, рабочих мест: 0,1 - 0,2 га; от 10 до 50 - 0,05 - 0,08 га; от 50 до 150 - 0,03 - 0,04 га; свыше 150 - 0,5 - 1,2 га</w:t>
            </w: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производственные организации централизованного выполнения заказов, объект</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7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05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Организации коммунального обслуживания</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17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Прачечные, кг белья в смену на 1 тыс. чел.</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120(10)</w:t>
            </w:r>
          </w:p>
        </w:tc>
        <w:tc>
          <w:tcPr>
            <w:tcW w:w="17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 том числе</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17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прачечные самообслуживания, объект</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10(10)</w:t>
            </w:r>
          </w:p>
        </w:tc>
        <w:tc>
          <w:tcPr>
            <w:tcW w:w="17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0,1 - 0,2 га на объект</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Химчистки, кг вещей в смену на 1 тыс. чел., в том числе</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11,4(4,0)</w:t>
            </w:r>
          </w:p>
        </w:tc>
        <w:tc>
          <w:tcPr>
            <w:tcW w:w="17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3,5</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химчистки самообслуживания, объект</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4,0 (4,0)</w:t>
            </w:r>
          </w:p>
        </w:tc>
        <w:tc>
          <w:tcPr>
            <w:tcW w:w="17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0,1 - 0,2 га на объект</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Бани, место на 1 тыс. чел.</w:t>
            </w:r>
          </w:p>
        </w:tc>
        <w:tc>
          <w:tcPr>
            <w:tcW w:w="1275"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7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0,2 - 0,4 га на объект</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 10 мест</w:t>
            </w:r>
          </w:p>
        </w:tc>
      </w:tr>
      <w:tr w:rsidR="00AA422F">
        <w:tc>
          <w:tcPr>
            <w:tcW w:w="14601" w:type="dxa"/>
            <w:gridSpan w:val="6"/>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Организации управления, проектные организации, кредитно-финансовые организации и организации связи</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Отделения связи, объект</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размещение отделений связи, укрупненных доставочных отделений связи (УДОС), узлов связи, почтамтов, агентств союзпечати, телеграфов,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отделения связи 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тыс. чел.) - 0,3 - 0,35 га; III - IV (2 - 6 тыс. чел.) - 0,4 - 0,45 га</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Отделения банков, операционная касса</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операционная касса на 10 - 30 тыс. чел.</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га на объект: 0,2 - при 2 операционных кассах; 0,5 - при 7 операционных кассах</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Отделения банка, операционное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 сельских поселениях</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 операционное место (окно) на 1 - 2 тыс. чел.</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Организации управления, объект</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 зависимости от этажности здания, кв. м на 1 сотрудника: 44 - 18,5 - при этажности до 3  этажей. Краевых, районных органов власти, кв. м на 1 сотрудника: 54 - 30 при этажности до 3 этажей, Сельских органов власти, кв. м на 1 сотрудника: 60 - 40 при этажности 2 - 3 этажа</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Районные (народные суды), рабочее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 судья на 30 тыс. чел.</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0,15 га на объект - при 1 судье, 0,4 га при 5 судьях, 0,3 га при 10 членах суда, 0,5 га при 25 членах суда</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Юридические консультации, рабочее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 юрист-адвокат на 10 тыс. чел.</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Нотариальная контора, рабочее место</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 нотариус на 30 тыс. чел.</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14601" w:type="dxa"/>
            <w:gridSpan w:val="6"/>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Организации жилищно-коммунального хозяйства</w:t>
            </w: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Жилищно-эксплуатационные организации, объект</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микрорайона</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 объект на микрорайон с населением до 20 тыс. чел.</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0,3 га на объект</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жилого района</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 объект на жилой район с населением до 80 тыс. чел.</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 га на объект</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Пункт приема вторичного сырья, объект</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 объект на микрорайон с населением до 20 тыс. чел.</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0,01 га на объект</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Гостиницы, место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при числе мест гостиницы, кв. м на 1 место: от 25 до 100 - 55, от 100 до 500 - 30, от 500 до 1000 - 20, от 1000 до 2000 - 15</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Общественные уборные</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 прибор на 1 тыс. чел.</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Организации похоронного обслуживания, дом траурных обрядов</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1 объект на 0,5 - 1 млн чел.</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color w:val="000000"/>
                <w:sz w:val="28"/>
                <w:szCs w:val="28"/>
              </w:rPr>
            </w:pPr>
          </w:p>
        </w:tc>
      </w:tr>
      <w:tr w:rsidR="00AA422F">
        <w:tc>
          <w:tcPr>
            <w:tcW w:w="38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Кладбище традиционного захоронения</w:t>
            </w:r>
          </w:p>
        </w:tc>
        <w:tc>
          <w:tcPr>
            <w:tcW w:w="303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05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0,24 га на 1 тыс. чел.</w:t>
            </w:r>
          </w:p>
        </w:tc>
        <w:tc>
          <w:tcPr>
            <w:tcW w:w="368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AA422F" w:rsidRDefault="00AA422F" w:rsidP="00434EF1">
      <w:pPr>
        <w:rPr>
          <w:color w:val="000000"/>
          <w:sz w:val="28"/>
          <w:szCs w:val="28"/>
        </w:rPr>
        <w:sectPr w:rsidR="00AA422F">
          <w:pgSz w:w="16838" w:h="11906" w:orient="landscape"/>
          <w:pgMar w:top="842" w:right="1440" w:bottom="566" w:left="1440" w:header="0" w:footer="0" w:gutter="0"/>
          <w:cols w:space="720"/>
        </w:sectPr>
      </w:pPr>
    </w:p>
    <w:p w:rsidR="00AA422F" w:rsidRDefault="00AA422F" w:rsidP="00434EF1">
      <w:pPr>
        <w:pStyle w:val="ConsPlusNormal"/>
        <w:jc w:val="both"/>
        <w:rPr>
          <w:rFonts w:ascii="Times New Roman" w:hAnsi="Times New Roman" w:cs="Times New Roman"/>
          <w:color w:val="000000"/>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p>
    <w:p w:rsidR="00AA422F" w:rsidRDefault="00AA422F" w:rsidP="00434EF1">
      <w:pPr>
        <w:pStyle w:val="ConsPlusNormal"/>
        <w:ind w:firstLine="540"/>
        <w:jc w:val="both"/>
        <w:rPr>
          <w:rFonts w:ascii="Times New Roman" w:hAnsi="Times New Roman" w:cs="Times New Roman"/>
          <w:sz w:val="28"/>
          <w:szCs w:val="28"/>
        </w:rPr>
      </w:pPr>
      <w:bookmarkStart w:id="52" w:name="Par4432"/>
      <w:bookmarkEnd w:id="52"/>
      <w:r>
        <w:rPr>
          <w:rFonts w:ascii="Times New Roman" w:hAnsi="Times New Roman" w:cs="Times New Roman"/>
          <w:sz w:val="28"/>
          <w:szCs w:val="28"/>
        </w:rPr>
        <w:t>&lt;1&gt;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Нормы расчета не распространяются на проектирование организаций обслуживания, расположенных на территориях промышленных предприятий и других мест приложения труда. Структура и удельная вместимость организаций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AA422F" w:rsidRDefault="00AA422F" w:rsidP="00434EF1">
      <w:pPr>
        <w:pStyle w:val="ConsPlusNormal"/>
        <w:ind w:firstLine="540"/>
        <w:jc w:val="both"/>
        <w:rPr>
          <w:rFonts w:ascii="Times New Roman" w:hAnsi="Times New Roman" w:cs="Times New Roman"/>
          <w:sz w:val="28"/>
          <w:szCs w:val="28"/>
        </w:rPr>
      </w:pPr>
      <w:bookmarkStart w:id="53" w:name="Par4434"/>
      <w:bookmarkEnd w:id="53"/>
      <w:r>
        <w:rPr>
          <w:rFonts w:ascii="Times New Roman" w:hAnsi="Times New Roman" w:cs="Times New Roman"/>
          <w:sz w:val="28"/>
          <w:szCs w:val="28"/>
        </w:rPr>
        <w:t>&lt;2&gt;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AA422F" w:rsidRDefault="00AA422F" w:rsidP="00434EF1">
      <w:pPr>
        <w:pStyle w:val="ConsPlusNormal"/>
        <w:ind w:firstLine="540"/>
        <w:jc w:val="both"/>
        <w:rPr>
          <w:rFonts w:ascii="Times New Roman" w:hAnsi="Times New Roman" w:cs="Times New Roman"/>
          <w:sz w:val="28"/>
          <w:szCs w:val="28"/>
        </w:rPr>
      </w:pPr>
      <w:bookmarkStart w:id="54" w:name="Par4435"/>
      <w:bookmarkEnd w:id="54"/>
      <w:r>
        <w:rPr>
          <w:rFonts w:ascii="Times New Roman" w:hAnsi="Times New Roman" w:cs="Times New Roman"/>
          <w:sz w:val="28"/>
          <w:szCs w:val="28"/>
        </w:rPr>
        <w:t>&lt;3&gt; При наполняемости классов 40 учащимися с учетом площади спортивной зоны и здания школы.</w:t>
      </w:r>
    </w:p>
    <w:p w:rsidR="00AA422F" w:rsidRDefault="00AA422F" w:rsidP="00434EF1">
      <w:pPr>
        <w:pStyle w:val="ConsPlusNormal"/>
        <w:ind w:firstLine="540"/>
        <w:jc w:val="both"/>
        <w:rPr>
          <w:rFonts w:ascii="Times New Roman" w:hAnsi="Times New Roman" w:cs="Times New Roman"/>
          <w:sz w:val="28"/>
          <w:szCs w:val="28"/>
        </w:rPr>
      </w:pPr>
      <w:bookmarkStart w:id="55" w:name="Par4436"/>
      <w:bookmarkEnd w:id="55"/>
      <w:r>
        <w:rPr>
          <w:rFonts w:ascii="Times New Roman" w:hAnsi="Times New Roman" w:cs="Times New Roman"/>
          <w:sz w:val="28"/>
          <w:szCs w:val="28"/>
        </w:rPr>
        <w:t>&lt;4&gt; В сельских поселениях места для внешкольных учреждений рекомендуется предусматривать в зданиях общеобразовательных школ.</w:t>
      </w:r>
    </w:p>
    <w:p w:rsidR="00AA422F" w:rsidRDefault="00AA422F" w:rsidP="00434EF1">
      <w:pPr>
        <w:pStyle w:val="ConsPlusNormal"/>
        <w:ind w:firstLine="540"/>
        <w:jc w:val="both"/>
        <w:rPr>
          <w:rFonts w:ascii="Times New Roman" w:hAnsi="Times New Roman" w:cs="Times New Roman"/>
          <w:sz w:val="28"/>
          <w:szCs w:val="28"/>
        </w:rPr>
      </w:pPr>
      <w:bookmarkStart w:id="56" w:name="Par4437"/>
      <w:bookmarkEnd w:id="56"/>
      <w:r>
        <w:rPr>
          <w:rFonts w:ascii="Times New Roman" w:hAnsi="Times New Roman" w:cs="Times New Roman"/>
          <w:sz w:val="28"/>
          <w:szCs w:val="28"/>
        </w:rPr>
        <w:t>&lt;5&gt;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AA422F" w:rsidRDefault="00AA422F" w:rsidP="00434EF1">
      <w:pPr>
        <w:pStyle w:val="ConsPlusNormal"/>
        <w:ind w:firstLine="540"/>
        <w:jc w:val="both"/>
        <w:rPr>
          <w:rFonts w:ascii="Times New Roman" w:hAnsi="Times New Roman" w:cs="Times New Roman"/>
          <w:sz w:val="28"/>
          <w:szCs w:val="28"/>
        </w:rPr>
      </w:pPr>
      <w:bookmarkStart w:id="57" w:name="Par4438"/>
      <w:bookmarkEnd w:id="57"/>
      <w:r>
        <w:rPr>
          <w:rFonts w:ascii="Times New Roman" w:hAnsi="Times New Roman" w:cs="Times New Roman"/>
          <w:sz w:val="28"/>
          <w:szCs w:val="28"/>
        </w:rPr>
        <w:t>&lt;6&gt;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AA422F" w:rsidRDefault="00AA422F" w:rsidP="00434EF1">
      <w:pPr>
        <w:pStyle w:val="ConsPlusNormal"/>
        <w:ind w:firstLine="540"/>
        <w:jc w:val="both"/>
        <w:rPr>
          <w:rFonts w:ascii="Times New Roman" w:hAnsi="Times New Roman" w:cs="Times New Roman"/>
          <w:color w:val="000000"/>
          <w:sz w:val="28"/>
          <w:szCs w:val="28"/>
        </w:rPr>
      </w:pPr>
      <w:bookmarkStart w:id="58" w:name="Par4439"/>
      <w:bookmarkEnd w:id="58"/>
      <w:r>
        <w:rPr>
          <w:rFonts w:ascii="Times New Roman" w:hAnsi="Times New Roman" w:cs="Times New Roman"/>
          <w:sz w:val="28"/>
          <w:szCs w:val="28"/>
        </w:rPr>
        <w:t xml:space="preserve">&lt;7&gt; Нормативы разрабатываются исполнительным органом в соответствии </w:t>
      </w:r>
      <w:r>
        <w:rPr>
          <w:rFonts w:ascii="Times New Roman" w:hAnsi="Times New Roman" w:cs="Times New Roman"/>
          <w:color w:val="000000"/>
          <w:sz w:val="28"/>
          <w:szCs w:val="28"/>
        </w:rPr>
        <w:t xml:space="preserve">с </w:t>
      </w:r>
      <w:hyperlink r:id="rId281" w:tooltip="Постановление Правительства РФ от 24.09.2010 N 754 &quot;Об утверждении Правил установления нормативов минимальной обеспеченности населения площадью торговых объектов&quot;------------ Утратил силу или отменен{КонсультантПлюс}" w:history="1">
        <w:r>
          <w:rPr>
            <w:rStyle w:val="Hyperlink"/>
            <w:rFonts w:ascii="Times New Roman" w:hAnsi="Times New Roman"/>
            <w:color w:val="000000"/>
            <w:sz w:val="28"/>
            <w:szCs w:val="28"/>
            <w:u w:val="none"/>
          </w:rPr>
          <w:t>методикой</w:t>
        </w:r>
      </w:hyperlink>
      <w:r>
        <w:rPr>
          <w:rFonts w:ascii="Times New Roman" w:hAnsi="Times New Roman" w:cs="Times New Roman"/>
          <w:color w:val="000000"/>
          <w:sz w:val="28"/>
          <w:szCs w:val="28"/>
        </w:rPr>
        <w:t xml:space="preserve"> расчета нормативов, утвержденных постановлением Правительства Российской Федерации от 24.09.2010 № 754, и устанавливаются для Алтайского края и муниципального образования  </w:t>
      </w:r>
      <w:hyperlink r:id="rId282" w:anchor="Par4473#Par4473" w:tooltip="Нормативы минимальной обеспеченности населения" w:history="1">
        <w:r>
          <w:rPr>
            <w:rStyle w:val="Hyperlink"/>
            <w:rFonts w:ascii="Times New Roman" w:hAnsi="Times New Roman"/>
            <w:color w:val="000000"/>
            <w:sz w:val="28"/>
            <w:szCs w:val="28"/>
            <w:u w:val="none"/>
          </w:rPr>
          <w:t>(таблица Е-3)</w:t>
        </w:r>
      </w:hyperlink>
      <w:r>
        <w:rPr>
          <w:rFonts w:ascii="Times New Roman" w:hAnsi="Times New Roman" w:cs="Times New Roman"/>
          <w:color w:val="000000"/>
          <w:sz w:val="28"/>
          <w:szCs w:val="28"/>
        </w:rPr>
        <w:t>.</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Е-2</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bookmarkStart w:id="59" w:name="Par4443"/>
      <w:bookmarkEnd w:id="59"/>
      <w:r>
        <w:rPr>
          <w:rFonts w:ascii="Times New Roman" w:hAnsi="Times New Roman" w:cs="Times New Roman"/>
          <w:sz w:val="28"/>
          <w:szCs w:val="28"/>
        </w:rPr>
        <w:t>Минимальные расчетные показатели</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обеспечения объектами образования</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962"/>
        <w:gridCol w:w="2551"/>
        <w:gridCol w:w="2693"/>
      </w:tblGrid>
      <w:tr w:rsidR="00AA422F">
        <w:tc>
          <w:tcPr>
            <w:tcW w:w="49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Наименование объектов</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Единица измерения</w:t>
            </w:r>
          </w:p>
        </w:tc>
        <w:tc>
          <w:tcPr>
            <w:tcW w:w="26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Сельские поселения</w:t>
            </w:r>
          </w:p>
        </w:tc>
      </w:tr>
      <w:tr w:rsidR="00AA422F">
        <w:tc>
          <w:tcPr>
            <w:tcW w:w="49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Дошкольные образовательные организации, в том числе</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мест на 1 тыс. чел.</w:t>
            </w:r>
          </w:p>
        </w:tc>
        <w:tc>
          <w:tcPr>
            <w:tcW w:w="26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r>
      <w:tr w:rsidR="00AA422F">
        <w:tc>
          <w:tcPr>
            <w:tcW w:w="49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общего типа</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r>
      <w:tr w:rsidR="00AA422F">
        <w:tc>
          <w:tcPr>
            <w:tcW w:w="49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специализированного</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r w:rsidR="00AA422F">
        <w:tc>
          <w:tcPr>
            <w:tcW w:w="49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оздоровительного</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r w:rsidR="00AA422F">
        <w:tc>
          <w:tcPr>
            <w:tcW w:w="496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Общеобразовательные организации</w:t>
            </w:r>
          </w:p>
        </w:tc>
        <w:tc>
          <w:tcPr>
            <w:tcW w:w="255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учащихся на 1 тыс. чел.</w:t>
            </w:r>
          </w:p>
        </w:tc>
        <w:tc>
          <w:tcPr>
            <w:tcW w:w="269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110</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Е-3</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bookmarkStart w:id="60" w:name="Par4473"/>
      <w:bookmarkEnd w:id="60"/>
      <w:r>
        <w:rPr>
          <w:rFonts w:ascii="Times New Roman" w:hAnsi="Times New Roman" w:cs="Times New Roman"/>
          <w:sz w:val="28"/>
          <w:szCs w:val="28"/>
        </w:rPr>
        <w:t>Нормативы минимальной обеспеченности населения</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площадью торговых объектов</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кв. м торговой площади на 1000 человек</w:t>
      </w:r>
    </w:p>
    <w:tbl>
      <w:tblPr>
        <w:tblW w:w="0" w:type="auto"/>
        <w:tblInd w:w="62" w:type="dxa"/>
        <w:tblLayout w:type="fixed"/>
        <w:tblCellMar>
          <w:top w:w="102" w:type="dxa"/>
          <w:left w:w="62" w:type="dxa"/>
          <w:bottom w:w="102" w:type="dxa"/>
          <w:right w:w="62" w:type="dxa"/>
        </w:tblCellMar>
        <w:tblLook w:val="0000"/>
      </w:tblPr>
      <w:tblGrid>
        <w:gridCol w:w="3854"/>
        <w:gridCol w:w="1848"/>
        <w:gridCol w:w="1858"/>
        <w:gridCol w:w="1848"/>
      </w:tblGrid>
      <w:tr w:rsidR="00AA422F">
        <w:tc>
          <w:tcPr>
            <w:tcW w:w="3854"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Наименование муниципального образования</w:t>
            </w:r>
          </w:p>
        </w:tc>
        <w:tc>
          <w:tcPr>
            <w:tcW w:w="1848"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Всего</w:t>
            </w:r>
          </w:p>
        </w:tc>
        <w:tc>
          <w:tcPr>
            <w:tcW w:w="3706"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 том числе:</w:t>
            </w:r>
          </w:p>
        </w:tc>
      </w:tr>
      <w:tr w:rsidR="00AA422F">
        <w:tc>
          <w:tcPr>
            <w:tcW w:w="3854"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84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85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магазины продовольственных товаров</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магазины непродовольственных товаров</w:t>
            </w:r>
          </w:p>
        </w:tc>
      </w:tr>
      <w:tr w:rsidR="00AA422F">
        <w:tc>
          <w:tcPr>
            <w:tcW w:w="38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85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w:t>
            </w:r>
          </w:p>
        </w:tc>
      </w:tr>
      <w:tr w:rsidR="00AA422F">
        <w:tc>
          <w:tcPr>
            <w:tcW w:w="38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Лебяжинский сельсовет Егорьевского района Алтайского края</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301</w:t>
            </w:r>
          </w:p>
        </w:tc>
        <w:tc>
          <w:tcPr>
            <w:tcW w:w="185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92</w:t>
            </w:r>
          </w:p>
        </w:tc>
        <w:tc>
          <w:tcPr>
            <w:tcW w:w="184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209</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Приложение Ж</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(рекомендуемое)</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к нормативам</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градостроительного проектирования</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муниципального образования Лебяжинский сельсовет</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Егорьевского района Алтайского края</w:t>
      </w:r>
    </w:p>
    <w:p w:rsidR="00AA422F" w:rsidRDefault="00AA422F" w:rsidP="00434EF1">
      <w:pPr>
        <w:pStyle w:val="ConsPlusNormal"/>
        <w:jc w:val="right"/>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Параметры</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Открытых плоскостных физкультурно-спортивных и физкультурно-рекреационных сооружений</w:t>
      </w:r>
    </w:p>
    <w:p w:rsidR="00AA422F" w:rsidRDefault="00AA422F" w:rsidP="00434EF1">
      <w:pPr>
        <w:pStyle w:val="ConsPlusNormal"/>
        <w:jc w:val="both"/>
        <w:rPr>
          <w:rFonts w:ascii="Times New Roman" w:hAnsi="Times New Roman" w:cs="Times New Roman"/>
          <w:sz w:val="28"/>
          <w:szCs w:val="28"/>
        </w:rPr>
      </w:pPr>
      <w:bookmarkStart w:id="61" w:name="Par4781"/>
      <w:bookmarkEnd w:id="61"/>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Ж-1</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Игровые площадки</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688"/>
        <w:gridCol w:w="1118"/>
        <w:gridCol w:w="1118"/>
        <w:gridCol w:w="1118"/>
        <w:gridCol w:w="1123"/>
        <w:gridCol w:w="1114"/>
        <w:gridCol w:w="1114"/>
      </w:tblGrid>
      <w:tr w:rsidR="00AA422F">
        <w:tc>
          <w:tcPr>
            <w:tcW w:w="2688"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Вид спорта</w:t>
            </w:r>
          </w:p>
        </w:tc>
        <w:tc>
          <w:tcPr>
            <w:tcW w:w="6705" w:type="dxa"/>
            <w:gridSpan w:val="6"/>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Планировочные размеры, м</w:t>
            </w:r>
          </w:p>
        </w:tc>
      </w:tr>
      <w:tr w:rsidR="00AA422F">
        <w:tc>
          <w:tcPr>
            <w:tcW w:w="268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2236"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игровое поле</w:t>
            </w:r>
          </w:p>
        </w:tc>
        <w:tc>
          <w:tcPr>
            <w:tcW w:w="224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зоны безопасности площадки</w:t>
            </w:r>
          </w:p>
        </w:tc>
        <w:tc>
          <w:tcPr>
            <w:tcW w:w="222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градостроительные параметры</w:t>
            </w:r>
          </w:p>
        </w:tc>
      </w:tr>
      <w:tr w:rsidR="00AA422F">
        <w:tc>
          <w:tcPr>
            <w:tcW w:w="268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длина</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ширина</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по длине</w:t>
            </w:r>
          </w:p>
        </w:tc>
        <w:tc>
          <w:tcPr>
            <w:tcW w:w="112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по ширине</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длина</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ширина</w:t>
            </w:r>
          </w:p>
        </w:tc>
      </w:tr>
      <w:tr w:rsidR="00AA422F">
        <w:tc>
          <w:tcPr>
            <w:tcW w:w="268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Бадминтон</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13,4</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6,1</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1,2</w:t>
            </w:r>
          </w:p>
        </w:tc>
        <w:tc>
          <w:tcPr>
            <w:tcW w:w="112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15,9</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9,1</w:t>
            </w:r>
          </w:p>
        </w:tc>
      </w:tr>
      <w:tr w:rsidR="00AA422F">
        <w:tc>
          <w:tcPr>
            <w:tcW w:w="268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Баскетбол</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26</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14</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12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18</w:t>
            </w:r>
          </w:p>
        </w:tc>
      </w:tr>
      <w:tr w:rsidR="00AA422F">
        <w:tc>
          <w:tcPr>
            <w:tcW w:w="268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Волейбол</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18</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9</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112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24</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r>
      <w:tr w:rsidR="00AA422F">
        <w:tc>
          <w:tcPr>
            <w:tcW w:w="268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Гандбол</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40</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12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44</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23</w:t>
            </w:r>
          </w:p>
        </w:tc>
      </w:tr>
      <w:tr w:rsidR="00AA422F">
        <w:tc>
          <w:tcPr>
            <w:tcW w:w="268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Городки</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26 - 30</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13 - 15</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2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r>
      <w:tr w:rsidR="00AA422F">
        <w:tc>
          <w:tcPr>
            <w:tcW w:w="268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Теннис: площадка для игры</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23,8</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11</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6,11</w:t>
            </w:r>
          </w:p>
        </w:tc>
        <w:tc>
          <w:tcPr>
            <w:tcW w:w="112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3,5</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36</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18</w:t>
            </w:r>
          </w:p>
        </w:tc>
      </w:tr>
      <w:tr w:rsidR="00AA422F">
        <w:tc>
          <w:tcPr>
            <w:tcW w:w="268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Теннис: площадка с тренировочной стенкой</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2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16 - 20</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12 - 18</w:t>
            </w:r>
          </w:p>
        </w:tc>
      </w:tr>
      <w:tr w:rsidR="00AA422F">
        <w:tc>
          <w:tcPr>
            <w:tcW w:w="268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Теннис настольный (один стол)</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2,74</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1,52</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12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7,7</w:t>
            </w:r>
          </w:p>
        </w:tc>
        <w:tc>
          <w:tcPr>
            <w:tcW w:w="111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4,3</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Ориентация площадки для игры в городки должна обеспечивать направление игры на север, северо-восток, в крайнем случае - на восток.</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Проектирование мест для зрителей следует ориентировать на север или восток.</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Ж-2</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Игровые поля</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1992"/>
        <w:gridCol w:w="1238"/>
        <w:gridCol w:w="1234"/>
        <w:gridCol w:w="1243"/>
        <w:gridCol w:w="1238"/>
        <w:gridCol w:w="1234"/>
        <w:gridCol w:w="1224"/>
      </w:tblGrid>
      <w:tr w:rsidR="00AA422F">
        <w:tc>
          <w:tcPr>
            <w:tcW w:w="1992"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Вид спорта</w:t>
            </w:r>
          </w:p>
        </w:tc>
        <w:tc>
          <w:tcPr>
            <w:tcW w:w="7411" w:type="dxa"/>
            <w:gridSpan w:val="6"/>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Планировочные размеры, м</w:t>
            </w:r>
          </w:p>
        </w:tc>
      </w:tr>
      <w:tr w:rsidR="00AA422F">
        <w:tc>
          <w:tcPr>
            <w:tcW w:w="1992"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2472"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игровое поле</w:t>
            </w:r>
          </w:p>
        </w:tc>
        <w:tc>
          <w:tcPr>
            <w:tcW w:w="2481"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зона безопасности</w:t>
            </w:r>
          </w:p>
        </w:tc>
        <w:tc>
          <w:tcPr>
            <w:tcW w:w="245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градостроительные параметры</w:t>
            </w:r>
          </w:p>
        </w:tc>
      </w:tr>
      <w:tr w:rsidR="00AA422F">
        <w:tc>
          <w:tcPr>
            <w:tcW w:w="1992"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длина</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ширина</w:t>
            </w:r>
          </w:p>
        </w:tc>
        <w:tc>
          <w:tcPr>
            <w:tcW w:w="12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передняя сторона</w:t>
            </w:r>
          </w:p>
        </w:tc>
        <w:tc>
          <w:tcPr>
            <w:tcW w:w="12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боковая сторона</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длина</w:t>
            </w:r>
          </w:p>
        </w:tc>
        <w:tc>
          <w:tcPr>
            <w:tcW w:w="12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ширина</w:t>
            </w:r>
          </w:p>
        </w:tc>
      </w:tr>
      <w:tr w:rsidR="00AA422F">
        <w:tc>
          <w:tcPr>
            <w:tcW w:w="1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Лапта</w:t>
            </w:r>
          </w:p>
        </w:tc>
        <w:tc>
          <w:tcPr>
            <w:tcW w:w="12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40 - 55</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25 - 40</w:t>
            </w:r>
          </w:p>
        </w:tc>
        <w:tc>
          <w:tcPr>
            <w:tcW w:w="12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5 - 20</w:t>
            </w:r>
          </w:p>
        </w:tc>
        <w:tc>
          <w:tcPr>
            <w:tcW w:w="12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5 - 10</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2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r>
      <w:tr w:rsidR="00AA422F">
        <w:tc>
          <w:tcPr>
            <w:tcW w:w="1992"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Футбол</w:t>
            </w:r>
          </w:p>
        </w:tc>
        <w:tc>
          <w:tcPr>
            <w:tcW w:w="12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90 - 110</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60 - 75</w:t>
            </w:r>
          </w:p>
        </w:tc>
        <w:tc>
          <w:tcPr>
            <w:tcW w:w="12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4 - 8</w:t>
            </w:r>
          </w:p>
        </w:tc>
        <w:tc>
          <w:tcPr>
            <w:tcW w:w="12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2 - 4</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120</w:t>
            </w:r>
          </w:p>
        </w:tc>
        <w:tc>
          <w:tcPr>
            <w:tcW w:w="12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80</w:t>
            </w:r>
          </w:p>
        </w:tc>
      </w:tr>
      <w:tr w:rsidR="00AA422F">
        <w:tc>
          <w:tcPr>
            <w:tcW w:w="1992"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105</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68</w:t>
            </w:r>
          </w:p>
        </w:tc>
        <w:tc>
          <w:tcPr>
            <w:tcW w:w="124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238"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224"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1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Хоккей на траве</w:t>
            </w:r>
          </w:p>
        </w:tc>
        <w:tc>
          <w:tcPr>
            <w:tcW w:w="12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91,4</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55</w:t>
            </w:r>
          </w:p>
        </w:tc>
        <w:tc>
          <w:tcPr>
            <w:tcW w:w="124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4-8</w:t>
            </w:r>
          </w:p>
        </w:tc>
        <w:tc>
          <w:tcPr>
            <w:tcW w:w="12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3 - 5</w:t>
            </w:r>
          </w:p>
        </w:tc>
        <w:tc>
          <w:tcPr>
            <w:tcW w:w="12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99,4</w:t>
            </w:r>
          </w:p>
        </w:tc>
        <w:tc>
          <w:tcPr>
            <w:tcW w:w="12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61</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При проектировании полей для спортивных игр с воротами (футбол, хоккей на траве и т.п.)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Ж-3</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Места для занятия легкой атлетикой</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499"/>
        <w:gridCol w:w="1757"/>
        <w:gridCol w:w="2268"/>
      </w:tblGrid>
      <w:tr w:rsidR="00AA422F">
        <w:tc>
          <w:tcPr>
            <w:tcW w:w="5499"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Вид спорта</w:t>
            </w:r>
          </w:p>
        </w:tc>
        <w:tc>
          <w:tcPr>
            <w:tcW w:w="4025"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Планировочные размеры, м</w:t>
            </w:r>
          </w:p>
        </w:tc>
      </w:tr>
      <w:tr w:rsidR="00AA422F">
        <w:tc>
          <w:tcPr>
            <w:tcW w:w="5499"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длина</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ширина</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Прыжки в длину и тройной прыжок, в том числе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54</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дорожка для разбега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45</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3,25</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Прыжки в высоту, в том числе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19</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35</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сектор для разбега (при размещении вне спортивного ядра)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35</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Прыжки с шестом, в том числе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52</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8</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дорожка для разбега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45</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1,25</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Толкание ядра, в том числе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27,5</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площадка под кольцо</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2,4</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2,4</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сектор для приземления ядра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24</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Метание диска и (или) молота, в том числе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90</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65</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площадка под кольцо</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2,7</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2,7</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сектор для приземления снарядов (при размещении вне спортивного ядра)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83</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65</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Метание копья, в том числе</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130</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60</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дорожка для разбега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сектор для приземления копья (при размещении вне спортивного ядра)</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60</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Бег по прямой</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130</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по числу отдельных дорожек</w:t>
            </w:r>
          </w:p>
        </w:tc>
      </w:tr>
      <w:tr w:rsidR="00AA422F">
        <w:tc>
          <w:tcPr>
            <w:tcW w:w="549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Бег (ходьба) по кругу</w:t>
            </w:r>
          </w:p>
        </w:tc>
        <w:tc>
          <w:tcPr>
            <w:tcW w:w="1757"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400</w:t>
            </w:r>
          </w:p>
        </w:tc>
        <w:tc>
          <w:tcPr>
            <w:tcW w:w="22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то же</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Ж-4</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Комплексные физкультурно-игровые площадки</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861"/>
        <w:gridCol w:w="2424"/>
        <w:gridCol w:w="984"/>
        <w:gridCol w:w="1992"/>
        <w:gridCol w:w="1118"/>
      </w:tblGrid>
      <w:tr w:rsidR="00AA422F">
        <w:tc>
          <w:tcPr>
            <w:tcW w:w="2861"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Возрастная группа занимающихся</w:t>
            </w:r>
          </w:p>
        </w:tc>
        <w:tc>
          <w:tcPr>
            <w:tcW w:w="6518" w:type="dxa"/>
            <w:gridSpan w:val="4"/>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Элементы комплексной площадки </w:t>
            </w:r>
            <w:hyperlink r:id="rId283" w:anchor="Par5004#Par5004" w:tooltip="&lt;*&g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 w:history="1">
              <w:r>
                <w:rPr>
                  <w:rStyle w:val="Hyperlink"/>
                  <w:rFonts w:ascii="Times New Roman" w:hAnsi="Times New Roman"/>
                  <w:color w:val="000000"/>
                  <w:sz w:val="28"/>
                  <w:szCs w:val="28"/>
                  <w:u w:val="none"/>
                </w:rPr>
                <w:t>&lt;*&gt;</w:t>
              </w:r>
            </w:hyperlink>
          </w:p>
        </w:tc>
      </w:tr>
      <w:tr w:rsidR="00AA422F">
        <w:tc>
          <w:tcPr>
            <w:tcW w:w="2861"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2424"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площадка для подвижных игр и общеразвивающих упражнений, кв. м</w:t>
            </w:r>
          </w:p>
        </w:tc>
        <w:tc>
          <w:tcPr>
            <w:tcW w:w="4094"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замкнутый контур беговой дорожки</w:t>
            </w:r>
          </w:p>
        </w:tc>
      </w:tr>
      <w:tr w:rsidR="00AA422F">
        <w:tc>
          <w:tcPr>
            <w:tcW w:w="2861"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2424"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2976"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длина, м</w:t>
            </w:r>
          </w:p>
        </w:tc>
        <w:tc>
          <w:tcPr>
            <w:tcW w:w="1118"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ширина, м</w:t>
            </w:r>
          </w:p>
        </w:tc>
      </w:tr>
      <w:tr w:rsidR="00AA422F">
        <w:tc>
          <w:tcPr>
            <w:tcW w:w="2861"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2424"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общая</w:t>
            </w:r>
          </w:p>
        </w:tc>
        <w:tc>
          <w:tcPr>
            <w:tcW w:w="1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 том числе прямого участка</w:t>
            </w:r>
          </w:p>
        </w:tc>
        <w:tc>
          <w:tcPr>
            <w:tcW w:w="111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r>
      <w:tr w:rsidR="00AA422F">
        <w:tc>
          <w:tcPr>
            <w:tcW w:w="286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Дети от 7 до 10 лет</w:t>
            </w:r>
          </w:p>
        </w:tc>
        <w:tc>
          <w:tcPr>
            <w:tcW w:w="2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60</w:t>
            </w:r>
          </w:p>
        </w:tc>
        <w:tc>
          <w:tcPr>
            <w:tcW w:w="1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не менее 15</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1,2</w:t>
            </w:r>
          </w:p>
        </w:tc>
      </w:tr>
      <w:tr w:rsidR="00AA422F">
        <w:tc>
          <w:tcPr>
            <w:tcW w:w="286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Дети старше 10 до 14 лет</w:t>
            </w:r>
          </w:p>
        </w:tc>
        <w:tc>
          <w:tcPr>
            <w:tcW w:w="2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c>
          <w:tcPr>
            <w:tcW w:w="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150</w:t>
            </w:r>
          </w:p>
        </w:tc>
        <w:tc>
          <w:tcPr>
            <w:tcW w:w="1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не менее 30</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r>
      <w:tr w:rsidR="00AA422F">
        <w:tc>
          <w:tcPr>
            <w:tcW w:w="286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Дети старше 14 лет и взрослые</w:t>
            </w:r>
          </w:p>
        </w:tc>
        <w:tc>
          <w:tcPr>
            <w:tcW w:w="242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250</w:t>
            </w:r>
          </w:p>
        </w:tc>
        <w:tc>
          <w:tcPr>
            <w:tcW w:w="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200</w:t>
            </w:r>
          </w:p>
        </w:tc>
        <w:tc>
          <w:tcPr>
            <w:tcW w:w="199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не менее 60</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p>
    <w:p w:rsidR="00AA422F" w:rsidRDefault="00AA422F" w:rsidP="00434EF1">
      <w:pPr>
        <w:pStyle w:val="ConsPlusNormal"/>
        <w:ind w:firstLine="540"/>
        <w:jc w:val="both"/>
        <w:rPr>
          <w:rFonts w:ascii="Times New Roman" w:hAnsi="Times New Roman" w:cs="Times New Roman"/>
          <w:sz w:val="28"/>
          <w:szCs w:val="28"/>
        </w:rPr>
      </w:pPr>
      <w:bookmarkStart w:id="62" w:name="Par5004"/>
      <w:bookmarkEnd w:id="62"/>
      <w:r>
        <w:rPr>
          <w:rFonts w:ascii="Times New Roman" w:hAnsi="Times New Roman" w:cs="Times New Roman"/>
          <w:sz w:val="28"/>
          <w:szCs w:val="28"/>
        </w:rPr>
        <w:t>&lt;*&gt;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1"/>
        <w:rPr>
          <w:rFonts w:ascii="Times New Roman" w:hAnsi="Times New Roman" w:cs="Times New Roman"/>
          <w:sz w:val="28"/>
          <w:szCs w:val="28"/>
        </w:rPr>
      </w:pPr>
      <w:bookmarkStart w:id="63" w:name="Par5010"/>
      <w:bookmarkEnd w:id="63"/>
      <w:r>
        <w:rPr>
          <w:rFonts w:ascii="Times New Roman" w:hAnsi="Times New Roman" w:cs="Times New Roman"/>
          <w:sz w:val="28"/>
          <w:szCs w:val="28"/>
        </w:rPr>
        <w:t>Приложение И</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(рекомендуемое)</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к нормативам</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sz w:val="28"/>
          <w:szCs w:val="28"/>
        </w:rPr>
        <w:t>градостроительного проектирования</w:t>
      </w:r>
      <w:r>
        <w:rPr>
          <w:rFonts w:ascii="Times New Roman" w:hAnsi="Times New Roman" w:cs="Times New Roman"/>
          <w:color w:val="000000"/>
          <w:sz w:val="28"/>
          <w:szCs w:val="28"/>
        </w:rPr>
        <w:t xml:space="preserve"> </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муниципального образования</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Лебяжинский сельсовет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Егорьевского района Алтайского края</w:t>
      </w:r>
    </w:p>
    <w:p w:rsidR="00AA422F" w:rsidRDefault="00AA422F" w:rsidP="00434EF1">
      <w:pPr>
        <w:pStyle w:val="ConsPlusNormal"/>
        <w:jc w:val="right"/>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И-1</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bookmarkStart w:id="64" w:name="Par5018"/>
      <w:bookmarkEnd w:id="64"/>
      <w:r>
        <w:rPr>
          <w:rFonts w:ascii="Times New Roman" w:hAnsi="Times New Roman" w:cs="Times New Roman"/>
          <w:sz w:val="28"/>
          <w:szCs w:val="28"/>
        </w:rPr>
        <w:t>Нормы расчета стоянок автомобилей</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459"/>
        <w:gridCol w:w="2376"/>
        <w:gridCol w:w="2539"/>
      </w:tblGrid>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Рекреационные территории, объекты отдыха, здания и сооружения</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Расчетная единица</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Число машино-мест на расчетную единицу</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AA422F">
        <w:tc>
          <w:tcPr>
            <w:tcW w:w="9374"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Рекреационные территории и объекты отдыха</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Пляжи и парки в зонах отдыха</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единовременных посетителей</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15 - 20</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Лесопарки и заповедники</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7 - 10</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Базы кратковременного отдыха (спортивные, лыжные, рыболовные, охотничьи и другие)</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10 - 15</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Береговые базы маломерного флота</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10 - 15</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Дома отдыха и санатории, санатории-профилактории, базы отдыха предприятий и туристские базы</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отдыхающих и лиц обслуживающего персонала</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3 - 5</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Гостиницы (туристские и курортные)</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5 - 7</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Мотели и кемпинги</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по расчетной вместимости</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Предприятия общественного питания, торговли и коммунально-бытового обслуживания в зонах отдыха</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мест в залах или единовременных посетителей и персонала</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7 - 10</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Садоводческие товарищества</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 участков</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7 - 10</w:t>
            </w:r>
          </w:p>
        </w:tc>
      </w:tr>
      <w:tr w:rsidR="00AA422F">
        <w:tc>
          <w:tcPr>
            <w:tcW w:w="9374"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Здания и сооружения</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Учреждения управления, кредитно-финансовые и юридические учреждения</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работающих</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5 - 7</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средние специальные учебные заведения</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10 - 15</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Промышленные предприятия</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работающих в двух смежных сменах</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7 - 10</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Больницы</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коек</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3 - 5</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Поликлиники</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посещений</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2 - 3</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Спортивные здания и сооружения с трибунами вместимостью более 500 зрителей</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мест</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3 - 5</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кинотеатр, музеи, выставки</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мест или единовременных посетителей</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10 - 15</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Парки культуры и отдыха</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единовременных посетителей</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5 - 7</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Торговые центры, универмаги, магазины с площадью торговых залов более 200 кв. м</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кв. м торговой площади</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5 - 7</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Магазины с торговой площадью до 200 кв. м</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кв. м торговой площади</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3 - 5</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Нестационарные торговые объекты</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Рынки</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 торговых мест</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20 - 25</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Рестораны и кафе с количеством посадочных мест 100 и более</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мест</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10 - 15</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Рестораны и кафе с количеством посадочных мест до 100</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5 - 7</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Прочие гостиницы</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6 - 8</w:t>
            </w:r>
          </w:p>
        </w:tc>
      </w:tr>
      <w:tr w:rsidR="00AA422F">
        <w:tc>
          <w:tcPr>
            <w:tcW w:w="445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Вокзалы всех видов транспорта</w:t>
            </w:r>
          </w:p>
        </w:tc>
        <w:tc>
          <w:tcPr>
            <w:tcW w:w="237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 пассажиров дальнего и местного сообщений, прибывающих в час "пик"</w:t>
            </w:r>
          </w:p>
        </w:tc>
        <w:tc>
          <w:tcPr>
            <w:tcW w:w="253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10 - 15</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2.Число машино-мест следует принимать при уровнях автомобилизации, определенных на расчетный срок.</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И-2</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bookmarkStart w:id="65" w:name="Par5117"/>
      <w:bookmarkEnd w:id="65"/>
      <w:r>
        <w:rPr>
          <w:rFonts w:ascii="Times New Roman" w:hAnsi="Times New Roman" w:cs="Times New Roman"/>
          <w:sz w:val="28"/>
          <w:szCs w:val="28"/>
        </w:rPr>
        <w:t>Нормы расчета машино-мест для постоянного и</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временного хранения автомобилей в зависимости</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от типов жилых домов</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864"/>
        <w:gridCol w:w="1133"/>
        <w:gridCol w:w="1142"/>
        <w:gridCol w:w="1138"/>
        <w:gridCol w:w="1118"/>
        <w:gridCol w:w="1013"/>
      </w:tblGrid>
      <w:tr w:rsidR="00AA422F">
        <w:tc>
          <w:tcPr>
            <w:tcW w:w="3864"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Показатели</w:t>
            </w:r>
          </w:p>
        </w:tc>
        <w:tc>
          <w:tcPr>
            <w:tcW w:w="5544" w:type="dxa"/>
            <w:gridSpan w:val="5"/>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Значения показателей в зависимости от типов жилых домов по уровню комфорта</w:t>
            </w:r>
          </w:p>
        </w:tc>
      </w:tr>
      <w:tr w:rsidR="00AA422F">
        <w:tc>
          <w:tcPr>
            <w:tcW w:w="3864"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133"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высококомфортный</w:t>
            </w:r>
          </w:p>
        </w:tc>
        <w:tc>
          <w:tcPr>
            <w:tcW w:w="1142"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повышенной комфортности</w:t>
            </w:r>
          </w:p>
        </w:tc>
        <w:tc>
          <w:tcPr>
            <w:tcW w:w="3269"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AA422F">
        <w:tc>
          <w:tcPr>
            <w:tcW w:w="3864"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133"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142"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1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200</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400</w:t>
            </w:r>
          </w:p>
        </w:tc>
      </w:tr>
      <w:tr w:rsidR="00AA422F">
        <w:tc>
          <w:tcPr>
            <w:tcW w:w="38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1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1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c>
          <w:tcPr>
            <w:tcW w:w="11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r>
      <w:tr w:rsidR="00AA422F">
        <w:tc>
          <w:tcPr>
            <w:tcW w:w="38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Расчетное число машино-мест на квартиру</w:t>
            </w:r>
          </w:p>
        </w:tc>
        <w:tc>
          <w:tcPr>
            <w:tcW w:w="113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38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постоянное хранение</w:t>
            </w:r>
          </w:p>
        </w:tc>
        <w:tc>
          <w:tcPr>
            <w:tcW w:w="11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2,50</w:t>
            </w:r>
          </w:p>
        </w:tc>
        <w:tc>
          <w:tcPr>
            <w:tcW w:w="11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2,00</w:t>
            </w:r>
          </w:p>
        </w:tc>
        <w:tc>
          <w:tcPr>
            <w:tcW w:w="11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0,50</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0,80</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1,10</w:t>
            </w:r>
          </w:p>
        </w:tc>
      </w:tr>
      <w:tr w:rsidR="00AA422F">
        <w:tc>
          <w:tcPr>
            <w:tcW w:w="38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временное хранение</w:t>
            </w:r>
          </w:p>
        </w:tc>
        <w:tc>
          <w:tcPr>
            <w:tcW w:w="11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0,50</w:t>
            </w:r>
          </w:p>
        </w:tc>
        <w:tc>
          <w:tcPr>
            <w:tcW w:w="11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0,40</w:t>
            </w:r>
          </w:p>
        </w:tc>
        <w:tc>
          <w:tcPr>
            <w:tcW w:w="11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0,10</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0,16</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0,22</w:t>
            </w:r>
          </w:p>
        </w:tc>
      </w:tr>
      <w:tr w:rsidR="00AA422F">
        <w:tc>
          <w:tcPr>
            <w:tcW w:w="38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Удельное обеспечение местами временного хранения, кв. м/чел.</w:t>
            </w:r>
          </w:p>
        </w:tc>
        <w:tc>
          <w:tcPr>
            <w:tcW w:w="11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4,17</w:t>
            </w:r>
          </w:p>
        </w:tc>
        <w:tc>
          <w:tcPr>
            <w:tcW w:w="11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3,33</w:t>
            </w:r>
          </w:p>
        </w:tc>
        <w:tc>
          <w:tcPr>
            <w:tcW w:w="11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0,83</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1,33</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1,83</w:t>
            </w:r>
          </w:p>
        </w:tc>
      </w:tr>
      <w:tr w:rsidR="00AA422F">
        <w:tc>
          <w:tcPr>
            <w:tcW w:w="38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Удельное обеспечение местами постоянного хранения, кв. м/чел., при способах хранения</w:t>
            </w:r>
          </w:p>
        </w:tc>
        <w:tc>
          <w:tcPr>
            <w:tcW w:w="113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38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в надземных стоянках в городах с населением более 100 тыс. чел. при числе этажей стоянок</w:t>
            </w:r>
          </w:p>
        </w:tc>
        <w:tc>
          <w:tcPr>
            <w:tcW w:w="113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38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два</w:t>
            </w:r>
          </w:p>
        </w:tc>
        <w:tc>
          <w:tcPr>
            <w:tcW w:w="11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6,67</w:t>
            </w:r>
          </w:p>
        </w:tc>
        <w:tc>
          <w:tcPr>
            <w:tcW w:w="11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0,83</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1,33</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1,83</w:t>
            </w:r>
          </w:p>
        </w:tc>
      </w:tr>
      <w:tr w:rsidR="00AA422F">
        <w:tc>
          <w:tcPr>
            <w:tcW w:w="38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в наземных и надземных стоянках в поселках и сельских населенных пунктах</w:t>
            </w:r>
          </w:p>
        </w:tc>
        <w:tc>
          <w:tcPr>
            <w:tcW w:w="113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38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наземных открытых</w:t>
            </w:r>
          </w:p>
        </w:tc>
        <w:tc>
          <w:tcPr>
            <w:tcW w:w="11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1,04</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1,67</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2,29</w:t>
            </w:r>
          </w:p>
        </w:tc>
      </w:tr>
      <w:tr w:rsidR="00AA422F">
        <w:tc>
          <w:tcPr>
            <w:tcW w:w="38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надземных одноэтажных</w:t>
            </w:r>
          </w:p>
        </w:tc>
        <w:tc>
          <w:tcPr>
            <w:tcW w:w="11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1,25</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2,00</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2,75</w:t>
            </w:r>
          </w:p>
        </w:tc>
      </w:tr>
      <w:tr w:rsidR="00AA422F">
        <w:tc>
          <w:tcPr>
            <w:tcW w:w="386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надземных двухэтажных</w:t>
            </w:r>
          </w:p>
        </w:tc>
        <w:tc>
          <w:tcPr>
            <w:tcW w:w="113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1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0,83</w:t>
            </w:r>
          </w:p>
        </w:tc>
        <w:tc>
          <w:tcPr>
            <w:tcW w:w="11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1,33</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1,83</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w:t>
      </w:r>
      <w:r>
        <w:rPr>
          <w:rFonts w:ascii="Times New Roman" w:hAnsi="Times New Roman" w:cs="Times New Roman"/>
          <w:color w:val="000000"/>
          <w:sz w:val="28"/>
          <w:szCs w:val="28"/>
        </w:rPr>
        <w:t xml:space="preserve">с </w:t>
      </w:r>
      <w:hyperlink r:id="rId284" w:anchor="Par5272#Par5272" w:tooltip="Нормы расчета площади земельных участков для" w:history="1">
        <w:r>
          <w:rPr>
            <w:rStyle w:val="Hyperlink"/>
            <w:rFonts w:ascii="Times New Roman" w:hAnsi="Times New Roman"/>
            <w:color w:val="000000"/>
            <w:sz w:val="28"/>
            <w:szCs w:val="28"/>
            <w:u w:val="none"/>
          </w:rPr>
          <w:t>таблицей И-3</w:t>
        </w:r>
      </w:hyperlink>
      <w:r>
        <w:rPr>
          <w:rFonts w:ascii="Times New Roman" w:hAnsi="Times New Roman" w:cs="Times New Roman"/>
          <w:color w:val="000000"/>
          <w:sz w:val="28"/>
          <w:szCs w:val="28"/>
        </w:rPr>
        <w:t xml:space="preserve"> приложения и показателей распределения по способам постоянного хранения в соответствии с </w:t>
      </w:r>
      <w:hyperlink r:id="rId285" w:anchor="Par5297#Par5297" w:tooltip="Нормативные показатели обеспечения местами хранения" w:history="1">
        <w:r>
          <w:rPr>
            <w:rStyle w:val="Hyperlink"/>
            <w:rFonts w:ascii="Times New Roman" w:hAnsi="Times New Roman"/>
            <w:color w:val="000000"/>
            <w:sz w:val="28"/>
            <w:szCs w:val="28"/>
            <w:u w:val="none"/>
          </w:rPr>
          <w:t>таблицей И-4</w:t>
        </w:r>
      </w:hyperlink>
      <w:r>
        <w:rPr>
          <w:rFonts w:ascii="Times New Roman" w:hAnsi="Times New Roman" w:cs="Times New Roman"/>
          <w:color w:val="000000"/>
          <w:sz w:val="28"/>
          <w:szCs w:val="28"/>
        </w:rPr>
        <w:t xml:space="preserve"> приложения.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15 - 20% от количества индивидуальных жилых домов и (или) квартир.</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И-3</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bookmarkStart w:id="66" w:name="Par5272"/>
      <w:bookmarkEnd w:id="66"/>
      <w:r>
        <w:rPr>
          <w:rFonts w:ascii="Times New Roman" w:hAnsi="Times New Roman" w:cs="Times New Roman"/>
          <w:sz w:val="28"/>
          <w:szCs w:val="28"/>
        </w:rPr>
        <w:t>Нормы расчета площади земельных участков для</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стоянок постоянного и временного хранения</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легковых автомобилей</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069"/>
        <w:gridCol w:w="4334"/>
      </w:tblGrid>
      <w:tr w:rsidR="00AA422F">
        <w:tc>
          <w:tcPr>
            <w:tcW w:w="50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Виды стоянок</w:t>
            </w:r>
          </w:p>
        </w:tc>
        <w:tc>
          <w:tcPr>
            <w:tcW w:w="4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Размер земельных участков, кв. м, на одно машино-место</w:t>
            </w:r>
          </w:p>
        </w:tc>
      </w:tr>
      <w:tr w:rsidR="00AA422F">
        <w:tc>
          <w:tcPr>
            <w:tcW w:w="50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4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AA422F">
        <w:tc>
          <w:tcPr>
            <w:tcW w:w="50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Надземные при числе этажей</w:t>
            </w:r>
          </w:p>
        </w:tc>
        <w:tc>
          <w:tcPr>
            <w:tcW w:w="4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50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один</w:t>
            </w:r>
          </w:p>
        </w:tc>
        <w:tc>
          <w:tcPr>
            <w:tcW w:w="4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r>
      <w:tr w:rsidR="00AA422F">
        <w:tc>
          <w:tcPr>
            <w:tcW w:w="50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два</w:t>
            </w:r>
          </w:p>
        </w:tc>
        <w:tc>
          <w:tcPr>
            <w:tcW w:w="4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r>
      <w:tr w:rsidR="00AA422F">
        <w:tc>
          <w:tcPr>
            <w:tcW w:w="506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Наземные открытые</w:t>
            </w:r>
          </w:p>
        </w:tc>
        <w:tc>
          <w:tcPr>
            <w:tcW w:w="433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И-4</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Нормативы минимальной обеспеченности населения</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пунктами технического осмотра (ТО)</w:t>
      </w:r>
    </w:p>
    <w:p w:rsidR="00AA422F" w:rsidRDefault="00AA422F" w:rsidP="00434EF1">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619"/>
        <w:gridCol w:w="3572"/>
        <w:gridCol w:w="1984"/>
      </w:tblGrid>
      <w:tr w:rsidR="00AA422F">
        <w:tc>
          <w:tcPr>
            <w:tcW w:w="61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N п/п</w:t>
            </w:r>
          </w:p>
        </w:tc>
        <w:tc>
          <w:tcPr>
            <w:tcW w:w="35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Наименование муниципального образования</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Количество диагностических линий ТО, шт.</w:t>
            </w:r>
          </w:p>
        </w:tc>
      </w:tr>
      <w:tr w:rsidR="00AA422F">
        <w:tc>
          <w:tcPr>
            <w:tcW w:w="61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35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AA422F">
        <w:tc>
          <w:tcPr>
            <w:tcW w:w="619"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w:t>
            </w:r>
          </w:p>
        </w:tc>
        <w:tc>
          <w:tcPr>
            <w:tcW w:w="357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Лебяжинский сельсовет Егорьевского района Алтайского края</w:t>
            </w:r>
          </w:p>
        </w:tc>
        <w:tc>
          <w:tcPr>
            <w:tcW w:w="198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- 3770 транспортных средств в год.</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Приложение К</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(рекомендуемое)</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к нормативам</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sz w:val="28"/>
          <w:szCs w:val="28"/>
        </w:rPr>
        <w:t>градостроительного проектирования</w:t>
      </w:r>
      <w:r>
        <w:rPr>
          <w:rFonts w:ascii="Times New Roman" w:hAnsi="Times New Roman" w:cs="Times New Roman"/>
          <w:color w:val="000000"/>
          <w:sz w:val="28"/>
          <w:szCs w:val="28"/>
        </w:rPr>
        <w:t xml:space="preserve"> </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муниципального образования </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Лебяжинский сельсовет</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Егорьевского района  Алтайского края</w:t>
      </w:r>
    </w:p>
    <w:p w:rsidR="00AA422F" w:rsidRDefault="00AA422F" w:rsidP="00434EF1">
      <w:pPr>
        <w:pStyle w:val="ConsPlusNormal"/>
        <w:jc w:val="right"/>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Нормы </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земельных участков гаражей транспортных средств</w:t>
      </w:r>
    </w:p>
    <w:p w:rsidR="00AA422F" w:rsidRDefault="00AA422F" w:rsidP="00434EF1">
      <w:pPr>
        <w:pStyle w:val="ConsPlusNormal"/>
        <w:jc w:val="center"/>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bookmarkStart w:id="67" w:name="Par5558"/>
      <w:bookmarkEnd w:id="67"/>
    </w:p>
    <w:tbl>
      <w:tblPr>
        <w:tblW w:w="0" w:type="auto"/>
        <w:tblInd w:w="62" w:type="dxa"/>
        <w:tblLayout w:type="fixed"/>
        <w:tblCellMar>
          <w:top w:w="102" w:type="dxa"/>
          <w:left w:w="62" w:type="dxa"/>
          <w:bottom w:w="102" w:type="dxa"/>
          <w:right w:w="62" w:type="dxa"/>
        </w:tblCellMar>
        <w:tblLook w:val="0000"/>
      </w:tblPr>
      <w:tblGrid>
        <w:gridCol w:w="3518"/>
        <w:gridCol w:w="1968"/>
        <w:gridCol w:w="1973"/>
        <w:gridCol w:w="1906"/>
      </w:tblGrid>
      <w:tr w:rsidR="00AA422F">
        <w:tc>
          <w:tcPr>
            <w:tcW w:w="351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Объекты</w:t>
            </w:r>
          </w:p>
        </w:tc>
        <w:tc>
          <w:tcPr>
            <w:tcW w:w="196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Расчетная единица</w:t>
            </w:r>
          </w:p>
        </w:tc>
        <w:tc>
          <w:tcPr>
            <w:tcW w:w="197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Вместимость объекта</w:t>
            </w:r>
          </w:p>
        </w:tc>
        <w:tc>
          <w:tcPr>
            <w:tcW w:w="190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Площадь участка на объект, га</w:t>
            </w:r>
          </w:p>
        </w:tc>
      </w:tr>
      <w:tr w:rsidR="00AA422F">
        <w:tc>
          <w:tcPr>
            <w:tcW w:w="3518"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Гаражи грузовых автомобилей</w:t>
            </w:r>
          </w:p>
        </w:tc>
        <w:tc>
          <w:tcPr>
            <w:tcW w:w="1968"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автомобиль</w:t>
            </w:r>
          </w:p>
        </w:tc>
        <w:tc>
          <w:tcPr>
            <w:tcW w:w="1973" w:type="dxa"/>
            <w:tcBorders>
              <w:top w:val="single" w:sz="4" w:space="0" w:color="auto"/>
              <w:left w:val="single" w:sz="4" w:space="0" w:color="auto"/>
              <w:bottom w:val="nil"/>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c>
          <w:tcPr>
            <w:tcW w:w="1906" w:type="dxa"/>
            <w:tcBorders>
              <w:top w:val="single" w:sz="4" w:space="0" w:color="auto"/>
              <w:left w:val="single" w:sz="4" w:space="0" w:color="auto"/>
              <w:bottom w:val="nil"/>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AA422F">
        <w:tc>
          <w:tcPr>
            <w:tcW w:w="351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9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973" w:type="dxa"/>
            <w:tcBorders>
              <w:top w:val="nil"/>
              <w:left w:val="single" w:sz="4" w:space="0" w:color="auto"/>
              <w:bottom w:val="nil"/>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200</w:t>
            </w:r>
          </w:p>
        </w:tc>
        <w:tc>
          <w:tcPr>
            <w:tcW w:w="1906" w:type="dxa"/>
            <w:tcBorders>
              <w:top w:val="nil"/>
              <w:left w:val="single" w:sz="4" w:space="0" w:color="auto"/>
              <w:bottom w:val="nil"/>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3,5</w:t>
            </w:r>
          </w:p>
        </w:tc>
      </w:tr>
      <w:tr w:rsidR="00AA422F">
        <w:tc>
          <w:tcPr>
            <w:tcW w:w="351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9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973" w:type="dxa"/>
            <w:tcBorders>
              <w:top w:val="nil"/>
              <w:left w:val="single" w:sz="4" w:space="0" w:color="auto"/>
              <w:bottom w:val="nil"/>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c>
          <w:tcPr>
            <w:tcW w:w="1906" w:type="dxa"/>
            <w:tcBorders>
              <w:top w:val="nil"/>
              <w:left w:val="single" w:sz="4" w:space="0" w:color="auto"/>
              <w:bottom w:val="nil"/>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4,5</w:t>
            </w:r>
          </w:p>
        </w:tc>
      </w:tr>
      <w:tr w:rsidR="00AA422F">
        <w:tc>
          <w:tcPr>
            <w:tcW w:w="351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96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973" w:type="dxa"/>
            <w:tcBorders>
              <w:top w:val="nil"/>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c>
          <w:tcPr>
            <w:tcW w:w="1906" w:type="dxa"/>
            <w:tcBorders>
              <w:top w:val="nil"/>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Приложение Л</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(рекомендуемое)</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к нормативам</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sz w:val="28"/>
          <w:szCs w:val="28"/>
        </w:rPr>
        <w:t>градостроительного проектирования</w:t>
      </w:r>
      <w:r>
        <w:rPr>
          <w:rFonts w:ascii="Times New Roman" w:hAnsi="Times New Roman" w:cs="Times New Roman"/>
          <w:color w:val="000000"/>
          <w:sz w:val="28"/>
          <w:szCs w:val="28"/>
        </w:rPr>
        <w:t xml:space="preserve"> </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муниципального образования </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Лебяжинский сельсовет</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Егорьевского района Алтайского края</w:t>
      </w:r>
    </w:p>
    <w:p w:rsidR="00AA422F" w:rsidRDefault="00AA422F" w:rsidP="00434EF1">
      <w:pPr>
        <w:pStyle w:val="ConsPlusNormal"/>
        <w:jc w:val="right"/>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Нормы</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накопления бытовых отходов</w:t>
      </w:r>
    </w:p>
    <w:p w:rsidR="00AA422F" w:rsidRDefault="00AA422F" w:rsidP="00434EF1">
      <w:pPr>
        <w:pStyle w:val="ConsPlusNormal"/>
        <w:jc w:val="both"/>
        <w:rPr>
          <w:rFonts w:ascii="Times New Roman" w:hAnsi="Times New Roman" w:cs="Times New Roman"/>
          <w:sz w:val="28"/>
          <w:szCs w:val="28"/>
        </w:rPr>
      </w:pPr>
      <w:bookmarkStart w:id="68" w:name="Par5641"/>
      <w:bookmarkEnd w:id="68"/>
    </w:p>
    <w:tbl>
      <w:tblPr>
        <w:tblW w:w="0" w:type="auto"/>
        <w:tblInd w:w="62" w:type="dxa"/>
        <w:tblLayout w:type="fixed"/>
        <w:tblCellMar>
          <w:top w:w="102" w:type="dxa"/>
          <w:left w:w="62" w:type="dxa"/>
          <w:bottom w:w="102" w:type="dxa"/>
          <w:right w:w="62" w:type="dxa"/>
        </w:tblCellMar>
        <w:tblLook w:val="0000"/>
      </w:tblPr>
      <w:tblGrid>
        <w:gridCol w:w="5966"/>
        <w:gridCol w:w="1752"/>
        <w:gridCol w:w="1646"/>
      </w:tblGrid>
      <w:tr w:rsidR="00AA422F">
        <w:tc>
          <w:tcPr>
            <w:tcW w:w="5966"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Бытовые отходы</w:t>
            </w:r>
          </w:p>
        </w:tc>
        <w:tc>
          <w:tcPr>
            <w:tcW w:w="3398" w:type="dxa"/>
            <w:gridSpan w:val="2"/>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Количество бытовых отходов, чел./год</w:t>
            </w:r>
          </w:p>
        </w:tc>
      </w:tr>
      <w:tr w:rsidR="00AA422F">
        <w:tc>
          <w:tcPr>
            <w:tcW w:w="5966"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17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кг</w:t>
            </w:r>
          </w:p>
        </w:tc>
        <w:tc>
          <w:tcPr>
            <w:tcW w:w="16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л</w:t>
            </w:r>
          </w:p>
        </w:tc>
      </w:tr>
      <w:tr w:rsidR="00AA422F">
        <w:tc>
          <w:tcPr>
            <w:tcW w:w="59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Твердые</w:t>
            </w:r>
          </w:p>
        </w:tc>
        <w:tc>
          <w:tcPr>
            <w:tcW w:w="1752"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1646"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59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от жилых зданий, оборудованных водопроводом, канализацией, центральным отоплением</w:t>
            </w:r>
          </w:p>
        </w:tc>
        <w:tc>
          <w:tcPr>
            <w:tcW w:w="17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190 - 225</w:t>
            </w:r>
          </w:p>
        </w:tc>
        <w:tc>
          <w:tcPr>
            <w:tcW w:w="16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900 - 1000</w:t>
            </w:r>
          </w:p>
        </w:tc>
      </w:tr>
      <w:tr w:rsidR="00AA422F">
        <w:tc>
          <w:tcPr>
            <w:tcW w:w="59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от прочих жилых зданий</w:t>
            </w:r>
          </w:p>
        </w:tc>
        <w:tc>
          <w:tcPr>
            <w:tcW w:w="17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300 - 450</w:t>
            </w:r>
          </w:p>
        </w:tc>
        <w:tc>
          <w:tcPr>
            <w:tcW w:w="16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1100 - 1500</w:t>
            </w:r>
          </w:p>
        </w:tc>
      </w:tr>
      <w:tr w:rsidR="00AA422F">
        <w:tc>
          <w:tcPr>
            <w:tcW w:w="59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Общее количество по району с учетом общественных зданий</w:t>
            </w:r>
          </w:p>
        </w:tc>
        <w:tc>
          <w:tcPr>
            <w:tcW w:w="17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280 - 300</w:t>
            </w:r>
          </w:p>
        </w:tc>
        <w:tc>
          <w:tcPr>
            <w:tcW w:w="16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1400 - 1500</w:t>
            </w:r>
          </w:p>
        </w:tc>
      </w:tr>
      <w:tr w:rsidR="00AA422F">
        <w:tc>
          <w:tcPr>
            <w:tcW w:w="59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Жидкие из выгребов (при отсутствии канализации)</w:t>
            </w:r>
          </w:p>
        </w:tc>
        <w:tc>
          <w:tcPr>
            <w:tcW w:w="17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6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2000 - 3500</w:t>
            </w:r>
          </w:p>
        </w:tc>
      </w:tr>
      <w:tr w:rsidR="00AA422F">
        <w:tc>
          <w:tcPr>
            <w:tcW w:w="596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Смет с 1 кв. м твердых покрытий улиц, площадей и парков</w:t>
            </w:r>
          </w:p>
        </w:tc>
        <w:tc>
          <w:tcPr>
            <w:tcW w:w="1752"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5 - 15</w:t>
            </w:r>
          </w:p>
        </w:tc>
        <w:tc>
          <w:tcPr>
            <w:tcW w:w="1646"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8 - 20</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Большие значения норм накопления отходов следует принимать для крупных населенных пунктов.</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Егорьевский район Алтайского края относится к III  климатическому району -  норму накопления бытовых отходов в год следует увеличивать на 10%.</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Нормы накопления твердых отходов при местном отоплении следует увеличивать на 10%, при использовании бурого угля - на 50%.</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Приложение М</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(рекомендуемое)</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к нормативам</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sz w:val="28"/>
          <w:szCs w:val="28"/>
        </w:rPr>
        <w:t>градостроительного проектирования</w:t>
      </w:r>
      <w:r>
        <w:rPr>
          <w:rFonts w:ascii="Times New Roman" w:hAnsi="Times New Roman" w:cs="Times New Roman"/>
          <w:color w:val="000000"/>
          <w:sz w:val="28"/>
          <w:szCs w:val="28"/>
        </w:rPr>
        <w:t xml:space="preserve"> </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муниципального образования </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Лебяжинский сельсовет</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Егорьевского района Алтайского края</w:t>
      </w:r>
    </w:p>
    <w:p w:rsidR="00AA422F" w:rsidRDefault="00AA422F" w:rsidP="00434EF1">
      <w:pPr>
        <w:pStyle w:val="ConsPlusNormal"/>
        <w:jc w:val="right"/>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Укрупненные показатели электропотребления</w:t>
      </w:r>
    </w:p>
    <w:p w:rsidR="00AA422F" w:rsidRDefault="00AA422F" w:rsidP="00434EF1">
      <w:pPr>
        <w:pStyle w:val="ConsPlusNormal"/>
        <w:jc w:val="both"/>
        <w:rPr>
          <w:rFonts w:ascii="Times New Roman" w:hAnsi="Times New Roman" w:cs="Times New Roman"/>
          <w:sz w:val="28"/>
          <w:szCs w:val="28"/>
        </w:rPr>
      </w:pPr>
      <w:bookmarkStart w:id="69" w:name="Par5683"/>
      <w:bookmarkEnd w:id="69"/>
    </w:p>
    <w:tbl>
      <w:tblPr>
        <w:tblW w:w="0" w:type="auto"/>
        <w:tblInd w:w="62" w:type="dxa"/>
        <w:tblLayout w:type="fixed"/>
        <w:tblCellMar>
          <w:top w:w="102" w:type="dxa"/>
          <w:left w:w="62" w:type="dxa"/>
          <w:bottom w:w="102" w:type="dxa"/>
          <w:right w:w="62" w:type="dxa"/>
        </w:tblCellMar>
        <w:tblLook w:val="0000"/>
      </w:tblPr>
      <w:tblGrid>
        <w:gridCol w:w="4704"/>
        <w:gridCol w:w="2721"/>
        <w:gridCol w:w="2154"/>
      </w:tblGrid>
      <w:tr w:rsidR="00AA422F">
        <w:tc>
          <w:tcPr>
            <w:tcW w:w="470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Степень благоустройства поселений</w:t>
            </w:r>
          </w:p>
        </w:tc>
        <w:tc>
          <w:tcPr>
            <w:tcW w:w="272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Электропотребление, кВт.ч/год на 1 чел.</w:t>
            </w:r>
          </w:p>
        </w:tc>
        <w:tc>
          <w:tcPr>
            <w:tcW w:w="21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Использование максимума электрической нагрузки, ч./год</w:t>
            </w:r>
          </w:p>
        </w:tc>
      </w:tr>
      <w:tr w:rsidR="00AA422F">
        <w:tc>
          <w:tcPr>
            <w:tcW w:w="470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Поселки и сельские поселения (без кондиционеров)</w:t>
            </w:r>
          </w:p>
        </w:tc>
        <w:tc>
          <w:tcPr>
            <w:tcW w:w="2721"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c>
          <w:tcPr>
            <w:tcW w:w="2154" w:type="dxa"/>
            <w:tcBorders>
              <w:top w:val="single" w:sz="4" w:space="0" w:color="auto"/>
              <w:left w:val="single" w:sz="4" w:space="0" w:color="auto"/>
              <w:bottom w:val="single" w:sz="4" w:space="0" w:color="auto"/>
              <w:right w:val="single" w:sz="4" w:space="0" w:color="auto"/>
            </w:tcBorders>
          </w:tcPr>
          <w:p w:rsidR="00AA422F" w:rsidRDefault="00AA422F">
            <w:pPr>
              <w:pStyle w:val="ConsPlusNormal"/>
              <w:rPr>
                <w:rFonts w:ascii="Times New Roman" w:hAnsi="Times New Roman" w:cs="Times New Roman"/>
                <w:sz w:val="28"/>
                <w:szCs w:val="28"/>
              </w:rPr>
            </w:pPr>
          </w:p>
        </w:tc>
      </w:tr>
      <w:tr w:rsidR="00AA422F">
        <w:tc>
          <w:tcPr>
            <w:tcW w:w="470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не оборудованные стационарными электроплитами</w:t>
            </w:r>
          </w:p>
        </w:tc>
        <w:tc>
          <w:tcPr>
            <w:tcW w:w="272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950</w:t>
            </w:r>
          </w:p>
        </w:tc>
        <w:tc>
          <w:tcPr>
            <w:tcW w:w="21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4100</w:t>
            </w:r>
          </w:p>
        </w:tc>
      </w:tr>
      <w:tr w:rsidR="00AA422F">
        <w:tc>
          <w:tcPr>
            <w:tcW w:w="470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оборудованные стационарными электроплитами (100% охвата)</w:t>
            </w:r>
          </w:p>
        </w:tc>
        <w:tc>
          <w:tcPr>
            <w:tcW w:w="272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1350</w:t>
            </w:r>
          </w:p>
        </w:tc>
        <w:tc>
          <w:tcPr>
            <w:tcW w:w="215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4400</w:t>
            </w:r>
          </w:p>
        </w:tc>
      </w:tr>
    </w:tbl>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w:t>
      </w:r>
    </w:p>
    <w:p w:rsidR="00AA422F" w:rsidRDefault="00AA422F" w:rsidP="00434EF1">
      <w:pPr>
        <w:pStyle w:val="ConsPlusNormal"/>
        <w:jc w:val="both"/>
        <w:rPr>
          <w:rFonts w:ascii="Times New Roman" w:hAnsi="Times New Roman" w:cs="Times New Roman"/>
          <w:sz w:val="28"/>
          <w:szCs w:val="28"/>
        </w:rPr>
      </w:pPr>
      <w:r>
        <w:rPr>
          <w:rFonts w:ascii="Times New Roman" w:hAnsi="Times New Roman" w:cs="Times New Roman"/>
          <w:sz w:val="28"/>
          <w:szCs w:val="28"/>
        </w:rPr>
        <w:t>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Приложение Н</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к нормативам</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sz w:val="28"/>
          <w:szCs w:val="28"/>
        </w:rPr>
        <w:t>градостроительного проектирования</w:t>
      </w:r>
      <w:r>
        <w:rPr>
          <w:rFonts w:ascii="Times New Roman" w:hAnsi="Times New Roman" w:cs="Times New Roman"/>
          <w:color w:val="000000"/>
          <w:sz w:val="28"/>
          <w:szCs w:val="28"/>
        </w:rPr>
        <w:t xml:space="preserve"> </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муниципального образования </w:t>
      </w:r>
    </w:p>
    <w:p w:rsidR="00AA422F" w:rsidRDefault="00AA422F" w:rsidP="00434EF1">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Лебяжинский сельсовет</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Егорьевского района Алтайского края</w:t>
      </w:r>
    </w:p>
    <w:p w:rsidR="00AA422F" w:rsidRDefault="00AA422F" w:rsidP="00434EF1">
      <w:pPr>
        <w:pStyle w:val="ConsPlusNormal"/>
        <w:jc w:val="right"/>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bookmarkStart w:id="70" w:name="Par6821"/>
      <w:bookmarkEnd w:id="70"/>
      <w:r>
        <w:rPr>
          <w:rFonts w:ascii="Times New Roman" w:hAnsi="Times New Roman" w:cs="Times New Roman"/>
          <w:sz w:val="28"/>
          <w:szCs w:val="28"/>
        </w:rPr>
        <w:t>Сейсмическое районирование</w:t>
      </w:r>
    </w:p>
    <w:p w:rsidR="00AA422F" w:rsidRDefault="00AA422F" w:rsidP="00434EF1">
      <w:pPr>
        <w:pStyle w:val="ConsPlusNormal"/>
        <w:jc w:val="center"/>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Карта 1. Фрагмент карты ОСР-97А Алтайского края.</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Зоны интенсивности сотрясения на средних грунтах</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в баллах шкалы МСК-64</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pict>
          <v:shape id="_x0000_i1027" type="#_x0000_t75" style="width:393pt;height:294pt">
            <v:imagedata r:id="rId286" o:title=""/>
          </v:shape>
        </w:pic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Карта 2. Фрагмент карты ОСР-97 А 10%.</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Сибирь. Зоны интенсивности, баллы</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pict>
          <v:shape id="_x0000_i1028" type="#_x0000_t75" style="width:393pt;height:479.25pt">
            <v:imagedata r:id="rId287" o:title=""/>
          </v:shape>
        </w:pic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Карта 3. Фрагмент карты ОСР-97 В для Алтайского края.</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Зоны интенсивности на средних грунтах в баллах MSK-64</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pict>
          <v:shape id="_x0000_i1029" type="#_x0000_t75" style="width:393pt;height:296.25pt">
            <v:imagedata r:id="rId288" o:title=""/>
          </v:shape>
        </w:pic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Карта 4. Фрагмент карты ОСР-97 В 5% Сибирь.</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Зоны интенсивности в баллах</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pict>
          <v:shape id="_x0000_i1030" type="#_x0000_t75" style="width:393pt;height:535.5pt">
            <v:imagedata r:id="rId289" o:title=""/>
          </v:shape>
        </w:pic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Карта 5. Фрагмент карты ОСР-97 С для Алтайского края.</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Зоны интенсивности на средних грунтах в баллах MSK-64</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pict>
          <v:shape id="_x0000_i1031" type="#_x0000_t75" style="width:393pt;height:270pt">
            <v:imagedata r:id="rId290" o:title=""/>
          </v:shape>
        </w:pic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Карта 6. Фрагмент карты ОСР-97-В 1% Сибирь.</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Зоны интенсивности в баллах</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pict>
          <v:shape id="_x0000_i1032" type="#_x0000_t75" style="width:393pt;height:520.5pt">
            <v:imagedata r:id="rId291" o:title=""/>
          </v:shape>
        </w:pict>
      </w:r>
    </w:p>
    <w:p w:rsidR="00AA422F" w:rsidRDefault="00AA422F" w:rsidP="00434EF1">
      <w:pPr>
        <w:pStyle w:val="ConsPlusNormal"/>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Рекомендации по применению карт общего сейсмического</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районирования в зависимости от категории ответственности</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зданий и сооружений (на основе комплекта карт</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ОСР-97 A, B, C Российской академии наук)</w:t>
      </w:r>
    </w:p>
    <w:p w:rsidR="00AA422F" w:rsidRDefault="00AA422F" w:rsidP="00434EF1">
      <w:pPr>
        <w:pStyle w:val="ConsPlusNormal"/>
        <w:jc w:val="center"/>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Идентификация зданий и сооружений должна проводиться в соответствии с законодательством Российской Федерации.</w:t>
      </w:r>
    </w:p>
    <w:p w:rsidR="00AA422F" w:rsidRDefault="00AA422F" w:rsidP="00434EF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Решение о выборе карты при проектировании конкретного объекта принимается заказчиком по представлению генерального проектировщика.</w:t>
      </w: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p>
    <w:p w:rsidR="00AA422F" w:rsidRDefault="00AA422F" w:rsidP="00434EF1">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Приложение Р</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к нормативам</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градостроительного проектирования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Лебяжинский сельсовет</w:t>
      </w:r>
    </w:p>
    <w:p w:rsidR="00AA422F" w:rsidRDefault="00AA422F" w:rsidP="00434EF1">
      <w:pPr>
        <w:pStyle w:val="ConsPlusNormal"/>
        <w:jc w:val="right"/>
        <w:rPr>
          <w:rFonts w:ascii="Times New Roman" w:hAnsi="Times New Roman" w:cs="Times New Roman"/>
          <w:sz w:val="28"/>
          <w:szCs w:val="28"/>
        </w:rPr>
      </w:pPr>
      <w:r>
        <w:rPr>
          <w:rFonts w:ascii="Times New Roman" w:hAnsi="Times New Roman" w:cs="Times New Roman"/>
          <w:sz w:val="28"/>
          <w:szCs w:val="28"/>
        </w:rPr>
        <w:t>Егорьевского района Алтайского края</w:t>
      </w:r>
    </w:p>
    <w:p w:rsidR="00AA422F" w:rsidRDefault="00AA422F" w:rsidP="00434EF1">
      <w:pPr>
        <w:pStyle w:val="ConsPlusNormal"/>
        <w:jc w:val="right"/>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Список</w:t>
      </w:r>
    </w:p>
    <w:p w:rsidR="00AA422F" w:rsidRDefault="00AA422F" w:rsidP="00434EF1">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населенных пунктов муниципального образования Лебяжинский сельсовет Егорьевского района Алтайского края с указанием сейсмической интенсивности в баллах шкалы </w:t>
      </w:r>
      <w:r>
        <w:rPr>
          <w:rFonts w:ascii="Times New Roman" w:hAnsi="Times New Roman" w:cs="Times New Roman"/>
          <w:sz w:val="28"/>
          <w:szCs w:val="28"/>
          <w:lang w:val="en-US"/>
        </w:rPr>
        <w:t>MSK</w:t>
      </w:r>
      <w:r>
        <w:rPr>
          <w:rFonts w:ascii="Times New Roman" w:hAnsi="Times New Roman" w:cs="Times New Roman"/>
          <w:sz w:val="28"/>
          <w:szCs w:val="28"/>
        </w:rPr>
        <w:t>-64 для средних грунтовых условий (</w:t>
      </w:r>
      <w:r>
        <w:rPr>
          <w:rFonts w:ascii="Times New Roman" w:hAnsi="Times New Roman" w:cs="Times New Roman"/>
          <w:sz w:val="28"/>
          <w:szCs w:val="28"/>
          <w:lang w:val="en-US"/>
        </w:rPr>
        <w:t>II</w:t>
      </w:r>
      <w:r>
        <w:rPr>
          <w:rFonts w:ascii="Times New Roman" w:hAnsi="Times New Roman" w:cs="Times New Roman"/>
          <w:sz w:val="28"/>
          <w:szCs w:val="28"/>
        </w:rPr>
        <w:t xml:space="preserve"> категории грунта по сейсмическим свойствам) и трех степеней сейсмической опасности – 10% (карта А), 5% (карта В), 1 % (карта С) вероятность превышения балла в течение 50 лет</w:t>
      </w:r>
    </w:p>
    <w:p w:rsidR="00AA422F" w:rsidRDefault="00AA422F" w:rsidP="00434EF1">
      <w:pPr>
        <w:pStyle w:val="ConsPlusNormal"/>
        <w:jc w:val="center"/>
        <w:rPr>
          <w:rFonts w:ascii="Times New Roman" w:hAnsi="Times New Roman" w:cs="Times New Roman"/>
          <w:sz w:val="28"/>
          <w:szCs w:val="28"/>
        </w:rPr>
      </w:pPr>
    </w:p>
    <w:p w:rsidR="00AA422F" w:rsidRDefault="00AA422F" w:rsidP="00434EF1">
      <w:pPr>
        <w:pStyle w:val="ConsPlusNormal"/>
        <w:jc w:val="center"/>
        <w:rPr>
          <w:rFonts w:ascii="Times New Roman" w:hAnsi="Times New Roman" w:cs="Times New Roman"/>
          <w:sz w:val="28"/>
          <w:szCs w:val="28"/>
        </w:rPr>
      </w:pPr>
    </w:p>
    <w:p w:rsidR="00AA422F" w:rsidRDefault="00AA422F" w:rsidP="00434EF1">
      <w:pPr>
        <w:pStyle w:val="ConsPlusNormal"/>
        <w:jc w:val="both"/>
        <w:rPr>
          <w:rFonts w:ascii="Times New Roman" w:hAnsi="Times New Roman" w:cs="Times New Roman"/>
          <w:sz w:val="28"/>
          <w:szCs w:val="28"/>
        </w:rPr>
      </w:pPr>
      <w:bookmarkStart w:id="71" w:name="Par6884"/>
      <w:bookmarkEnd w:id="71"/>
    </w:p>
    <w:tbl>
      <w:tblPr>
        <w:tblW w:w="0" w:type="auto"/>
        <w:tblInd w:w="62" w:type="dxa"/>
        <w:tblLayout w:type="fixed"/>
        <w:tblCellMar>
          <w:top w:w="102" w:type="dxa"/>
          <w:left w:w="62" w:type="dxa"/>
          <w:bottom w:w="102" w:type="dxa"/>
          <w:right w:w="62" w:type="dxa"/>
        </w:tblCellMar>
        <w:tblLook w:val="0000"/>
      </w:tblPr>
      <w:tblGrid>
        <w:gridCol w:w="794"/>
        <w:gridCol w:w="2938"/>
        <w:gridCol w:w="2611"/>
        <w:gridCol w:w="974"/>
        <w:gridCol w:w="1013"/>
        <w:gridCol w:w="1008"/>
      </w:tblGrid>
      <w:tr w:rsidR="00AA422F">
        <w:tc>
          <w:tcPr>
            <w:tcW w:w="794"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N п/п.</w:t>
            </w:r>
          </w:p>
        </w:tc>
        <w:tc>
          <w:tcPr>
            <w:tcW w:w="2938"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Населенный пункт</w:t>
            </w:r>
          </w:p>
        </w:tc>
        <w:tc>
          <w:tcPr>
            <w:tcW w:w="2611" w:type="dxa"/>
            <w:vMerge w:val="restart"/>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Район</w:t>
            </w:r>
          </w:p>
        </w:tc>
        <w:tc>
          <w:tcPr>
            <w:tcW w:w="2995" w:type="dxa"/>
            <w:gridSpan w:val="3"/>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Балл по карте ОСР-97</w:t>
            </w:r>
          </w:p>
        </w:tc>
      </w:tr>
      <w:tr w:rsidR="00AA422F">
        <w:tc>
          <w:tcPr>
            <w:tcW w:w="794"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2938"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2611" w:type="dxa"/>
            <w:vMerge/>
            <w:tcBorders>
              <w:top w:val="single" w:sz="4" w:space="0" w:color="auto"/>
              <w:left w:val="single" w:sz="4" w:space="0" w:color="auto"/>
              <w:bottom w:val="single" w:sz="4" w:space="0" w:color="auto"/>
              <w:right w:val="single" w:sz="4" w:space="0" w:color="auto"/>
            </w:tcBorders>
            <w:vAlign w:val="center"/>
          </w:tcPr>
          <w:p w:rsidR="00AA422F" w:rsidRDefault="00AA422F">
            <w:pPr>
              <w:rPr>
                <w:sz w:val="28"/>
                <w:szCs w:val="28"/>
              </w:rPr>
            </w:pPr>
          </w:p>
        </w:tc>
        <w:tc>
          <w:tcPr>
            <w:tcW w:w="9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А</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В</w:t>
            </w:r>
          </w:p>
        </w:tc>
        <w:tc>
          <w:tcPr>
            <w:tcW w:w="100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С</w:t>
            </w:r>
          </w:p>
        </w:tc>
      </w:tr>
      <w:tr w:rsidR="00AA422F">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29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261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c>
          <w:tcPr>
            <w:tcW w:w="9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4</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5</w:t>
            </w:r>
          </w:p>
        </w:tc>
        <w:tc>
          <w:tcPr>
            <w:tcW w:w="100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r>
      <w:tr w:rsidR="00AA422F">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1.</w:t>
            </w:r>
          </w:p>
        </w:tc>
        <w:tc>
          <w:tcPr>
            <w:tcW w:w="29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Лебяжье</w:t>
            </w:r>
          </w:p>
        </w:tc>
        <w:tc>
          <w:tcPr>
            <w:tcW w:w="261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8</w:t>
            </w:r>
          </w:p>
        </w:tc>
      </w:tr>
      <w:tr w:rsidR="00AA422F">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2.</w:t>
            </w:r>
          </w:p>
        </w:tc>
        <w:tc>
          <w:tcPr>
            <w:tcW w:w="29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Перешеечный</w:t>
            </w:r>
          </w:p>
        </w:tc>
        <w:tc>
          <w:tcPr>
            <w:tcW w:w="261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8</w:t>
            </w:r>
          </w:p>
        </w:tc>
      </w:tr>
      <w:tr w:rsidR="00AA422F">
        <w:tc>
          <w:tcPr>
            <w:tcW w:w="79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3.</w:t>
            </w:r>
          </w:p>
        </w:tc>
        <w:tc>
          <w:tcPr>
            <w:tcW w:w="293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Песчаный Борок</w:t>
            </w:r>
          </w:p>
        </w:tc>
        <w:tc>
          <w:tcPr>
            <w:tcW w:w="2611"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both"/>
              <w:rPr>
                <w:rFonts w:ascii="Times New Roman" w:hAnsi="Times New Roman" w:cs="Times New Roman"/>
                <w:sz w:val="28"/>
                <w:szCs w:val="28"/>
              </w:rPr>
            </w:pPr>
            <w:r>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AA422F" w:rsidRDefault="00AA422F">
            <w:pPr>
              <w:pStyle w:val="ConsPlusNormal"/>
              <w:jc w:val="center"/>
              <w:rPr>
                <w:rFonts w:ascii="Times New Roman" w:hAnsi="Times New Roman" w:cs="Times New Roman"/>
                <w:sz w:val="28"/>
                <w:szCs w:val="28"/>
              </w:rPr>
            </w:pPr>
            <w:r>
              <w:rPr>
                <w:rFonts w:ascii="Times New Roman" w:hAnsi="Times New Roman" w:cs="Times New Roman"/>
                <w:sz w:val="28"/>
                <w:szCs w:val="28"/>
              </w:rPr>
              <w:t>8</w:t>
            </w:r>
          </w:p>
        </w:tc>
      </w:tr>
    </w:tbl>
    <w:p w:rsidR="00AA422F" w:rsidRDefault="00AA422F" w:rsidP="00434EF1">
      <w:pPr>
        <w:pStyle w:val="ConsPlusNormal"/>
        <w:spacing w:before="100" w:after="100"/>
        <w:jc w:val="both"/>
        <w:rPr>
          <w:rFonts w:ascii="Times New Roman" w:hAnsi="Times New Roman" w:cs="Times New Roman"/>
          <w:sz w:val="28"/>
          <w:szCs w:val="28"/>
        </w:rPr>
      </w:pPr>
    </w:p>
    <w:p w:rsidR="00AA422F" w:rsidRDefault="00AA422F" w:rsidP="00434EF1">
      <w:pPr>
        <w:jc w:val="both"/>
        <w:rPr>
          <w:sz w:val="28"/>
          <w:szCs w:val="28"/>
        </w:rPr>
      </w:pPr>
    </w:p>
    <w:p w:rsidR="00AA422F" w:rsidRDefault="00AA422F" w:rsidP="00434EF1">
      <w:pPr>
        <w:jc w:val="both"/>
        <w:rPr>
          <w:sz w:val="28"/>
          <w:szCs w:val="28"/>
        </w:rPr>
      </w:pPr>
    </w:p>
    <w:p w:rsidR="00AA422F" w:rsidRDefault="00AA422F" w:rsidP="00434EF1">
      <w:pPr>
        <w:jc w:val="both"/>
        <w:rPr>
          <w:sz w:val="28"/>
          <w:szCs w:val="28"/>
        </w:rPr>
      </w:pPr>
    </w:p>
    <w:p w:rsidR="00AA422F" w:rsidRDefault="00AA422F" w:rsidP="00434EF1">
      <w:pPr>
        <w:jc w:val="both"/>
        <w:rPr>
          <w:sz w:val="28"/>
          <w:szCs w:val="28"/>
        </w:rPr>
      </w:pPr>
    </w:p>
    <w:p w:rsidR="00AA422F" w:rsidRDefault="00AA422F" w:rsidP="00434EF1">
      <w:pPr>
        <w:jc w:val="both"/>
        <w:rPr>
          <w:sz w:val="28"/>
          <w:szCs w:val="28"/>
        </w:rPr>
      </w:pPr>
    </w:p>
    <w:p w:rsidR="00AA422F" w:rsidRDefault="00AA422F" w:rsidP="00434EF1">
      <w:pPr>
        <w:jc w:val="both"/>
        <w:rPr>
          <w:sz w:val="28"/>
          <w:szCs w:val="28"/>
        </w:rPr>
      </w:pPr>
    </w:p>
    <w:p w:rsidR="00AA422F" w:rsidRDefault="00AA422F" w:rsidP="00434EF1">
      <w:pPr>
        <w:jc w:val="both"/>
        <w:rPr>
          <w:sz w:val="28"/>
          <w:szCs w:val="28"/>
        </w:rPr>
      </w:pPr>
    </w:p>
    <w:p w:rsidR="00AA422F" w:rsidRDefault="00AA422F" w:rsidP="00434EF1">
      <w:pPr>
        <w:jc w:val="both"/>
        <w:rPr>
          <w:sz w:val="28"/>
          <w:szCs w:val="28"/>
        </w:rPr>
      </w:pPr>
    </w:p>
    <w:p w:rsidR="00AA422F" w:rsidRDefault="00AA422F" w:rsidP="00434EF1">
      <w:pPr>
        <w:jc w:val="both"/>
        <w:rPr>
          <w:sz w:val="28"/>
          <w:szCs w:val="28"/>
        </w:rPr>
      </w:pPr>
    </w:p>
    <w:p w:rsidR="00AA422F" w:rsidRDefault="00AA422F" w:rsidP="00434EF1">
      <w:pPr>
        <w:jc w:val="both"/>
        <w:rPr>
          <w:sz w:val="28"/>
          <w:szCs w:val="28"/>
        </w:rPr>
      </w:pPr>
    </w:p>
    <w:p w:rsidR="00AA422F" w:rsidRDefault="00AA422F" w:rsidP="00434EF1">
      <w:pPr>
        <w:jc w:val="both"/>
        <w:rPr>
          <w:sz w:val="28"/>
          <w:szCs w:val="28"/>
        </w:rPr>
      </w:pPr>
    </w:p>
    <w:p w:rsidR="00AA422F" w:rsidRDefault="00AA422F" w:rsidP="00434EF1">
      <w:pPr>
        <w:jc w:val="both"/>
        <w:rPr>
          <w:sz w:val="28"/>
          <w:szCs w:val="28"/>
        </w:rPr>
      </w:pPr>
    </w:p>
    <w:p w:rsidR="00AA422F" w:rsidRDefault="00AA422F" w:rsidP="00434EF1">
      <w:pPr>
        <w:jc w:val="both"/>
        <w:rPr>
          <w:sz w:val="28"/>
          <w:szCs w:val="28"/>
        </w:rPr>
      </w:pPr>
    </w:p>
    <w:p w:rsidR="00AA422F" w:rsidRDefault="00AA422F" w:rsidP="00434EF1">
      <w:pPr>
        <w:jc w:val="both"/>
        <w:rPr>
          <w:sz w:val="28"/>
          <w:szCs w:val="28"/>
        </w:rPr>
      </w:pPr>
    </w:p>
    <w:p w:rsidR="00AA422F" w:rsidRDefault="00AA422F"/>
    <w:sectPr w:rsidR="00AA422F" w:rsidSect="00AA42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0"/>
        </w:tabs>
        <w:ind w:left="1429" w:hanging="360"/>
      </w:pPr>
      <w:rPr>
        <w:rFonts w:ascii="Times New Roman" w:hAnsi="Times New Roman"/>
      </w:rPr>
    </w:lvl>
  </w:abstractNum>
  <w:abstractNum w:abstractNumId="1">
    <w:nsid w:val="0D773514"/>
    <w:multiLevelType w:val="hybridMultilevel"/>
    <w:tmpl w:val="A596FE98"/>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4EF1"/>
    <w:rsid w:val="00086943"/>
    <w:rsid w:val="0031198F"/>
    <w:rsid w:val="00434EF1"/>
    <w:rsid w:val="00751F43"/>
    <w:rsid w:val="007A69D1"/>
    <w:rsid w:val="00AA422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EF1"/>
    <w:rPr>
      <w:sz w:val="24"/>
      <w:szCs w:val="24"/>
    </w:rPr>
  </w:style>
  <w:style w:type="character" w:default="1" w:styleId="DefaultParagraphFont">
    <w:name w:val="Default Paragraph Font"/>
    <w:link w:val="2CharCharCharCharCharCharCharCharCharCharCharCharCharCharCharChar"/>
    <w:uiPriority w:val="99"/>
    <w:semiHidden/>
    <w:lock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34EF1"/>
    <w:rPr>
      <w:rFonts w:cs="Times New Roman"/>
      <w:color w:val="0000FF"/>
      <w:u w:val="single"/>
    </w:rPr>
  </w:style>
  <w:style w:type="character" w:styleId="FollowedHyperlink">
    <w:name w:val="FollowedHyperlink"/>
    <w:basedOn w:val="DefaultParagraphFont"/>
    <w:uiPriority w:val="99"/>
    <w:rsid w:val="00434EF1"/>
    <w:rPr>
      <w:rFonts w:cs="Times New Roman"/>
      <w:color w:val="800080"/>
      <w:u w:val="single"/>
    </w:rPr>
  </w:style>
  <w:style w:type="paragraph" w:styleId="NormalWeb">
    <w:name w:val="Normal (Web)"/>
    <w:basedOn w:val="Normal"/>
    <w:uiPriority w:val="99"/>
    <w:rsid w:val="00434EF1"/>
    <w:rPr>
      <w:rFonts w:ascii="Calibri" w:hAnsi="Calibri" w:cs="Calibri"/>
      <w:lang w:eastAsia="zh-CN"/>
    </w:rPr>
  </w:style>
  <w:style w:type="character" w:customStyle="1" w:styleId="HeaderChar1">
    <w:name w:val="Header Char1"/>
    <w:basedOn w:val="DefaultParagraphFont"/>
    <w:link w:val="Header"/>
    <w:uiPriority w:val="99"/>
    <w:semiHidden/>
    <w:locked/>
    <w:rsid w:val="00434EF1"/>
    <w:rPr>
      <w:rFonts w:ascii="Calibri" w:hAnsi="Calibri" w:cs="Calibri"/>
      <w:sz w:val="22"/>
      <w:szCs w:val="22"/>
      <w:lang w:val="ru-RU" w:eastAsia="ru-RU" w:bidi="ar-SA"/>
    </w:rPr>
  </w:style>
  <w:style w:type="paragraph" w:styleId="Header">
    <w:name w:val="header"/>
    <w:basedOn w:val="Normal"/>
    <w:link w:val="HeaderChar1"/>
    <w:uiPriority w:val="99"/>
    <w:rsid w:val="00434EF1"/>
    <w:pPr>
      <w:tabs>
        <w:tab w:val="center" w:pos="4677"/>
        <w:tab w:val="right" w:pos="9355"/>
      </w:tabs>
      <w:spacing w:after="200" w:line="276" w:lineRule="auto"/>
    </w:pPr>
    <w:rPr>
      <w:rFonts w:ascii="Calibri" w:hAnsi="Calibri" w:cs="Calibri"/>
      <w:sz w:val="22"/>
      <w:szCs w:val="22"/>
    </w:rPr>
  </w:style>
  <w:style w:type="character" w:customStyle="1" w:styleId="HeaderChar">
    <w:name w:val="Header Char"/>
    <w:basedOn w:val="DefaultParagraphFont"/>
    <w:link w:val="Header"/>
    <w:uiPriority w:val="99"/>
    <w:semiHidden/>
    <w:rsid w:val="002A5ACE"/>
    <w:rPr>
      <w:sz w:val="24"/>
      <w:szCs w:val="24"/>
    </w:rPr>
  </w:style>
  <w:style w:type="character" w:customStyle="1" w:styleId="FooterChar1">
    <w:name w:val="Footer Char1"/>
    <w:basedOn w:val="DefaultParagraphFont"/>
    <w:link w:val="Footer"/>
    <w:uiPriority w:val="99"/>
    <w:semiHidden/>
    <w:locked/>
    <w:rsid w:val="00434EF1"/>
    <w:rPr>
      <w:rFonts w:ascii="Calibri" w:hAnsi="Calibri" w:cs="Calibri"/>
      <w:sz w:val="22"/>
      <w:szCs w:val="22"/>
      <w:lang w:val="ru-RU" w:eastAsia="ru-RU" w:bidi="ar-SA"/>
    </w:rPr>
  </w:style>
  <w:style w:type="paragraph" w:styleId="Footer">
    <w:name w:val="footer"/>
    <w:basedOn w:val="Normal"/>
    <w:link w:val="FooterChar1"/>
    <w:uiPriority w:val="99"/>
    <w:rsid w:val="00434EF1"/>
    <w:pPr>
      <w:tabs>
        <w:tab w:val="center" w:pos="4677"/>
        <w:tab w:val="right" w:pos="9355"/>
      </w:tabs>
      <w:spacing w:after="200" w:line="276" w:lineRule="auto"/>
    </w:pPr>
    <w:rPr>
      <w:rFonts w:ascii="Calibri" w:hAnsi="Calibri" w:cs="Calibri"/>
      <w:sz w:val="22"/>
      <w:szCs w:val="22"/>
    </w:rPr>
  </w:style>
  <w:style w:type="character" w:customStyle="1" w:styleId="FooterChar">
    <w:name w:val="Footer Char"/>
    <w:basedOn w:val="DefaultParagraphFont"/>
    <w:link w:val="Footer"/>
    <w:uiPriority w:val="99"/>
    <w:semiHidden/>
    <w:rsid w:val="002A5ACE"/>
    <w:rPr>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Normal"/>
    <w:link w:val="DefaultParagraphFont"/>
    <w:uiPriority w:val="99"/>
    <w:rsid w:val="00434EF1"/>
    <w:pPr>
      <w:spacing w:before="100" w:beforeAutospacing="1" w:after="100" w:afterAutospacing="1"/>
    </w:pPr>
    <w:rPr>
      <w:rFonts w:ascii="Tahoma" w:hAnsi="Tahoma"/>
      <w:sz w:val="20"/>
      <w:szCs w:val="20"/>
      <w:lang w:val="en-US" w:eastAsia="en-US"/>
    </w:rPr>
  </w:style>
  <w:style w:type="paragraph" w:customStyle="1" w:styleId="a">
    <w:name w:val="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434EF1"/>
    <w:rPr>
      <w:rFonts w:ascii="Verdana" w:hAnsi="Verdana" w:cs="Verdana"/>
      <w:sz w:val="20"/>
      <w:szCs w:val="20"/>
      <w:lang w:val="en-US" w:eastAsia="en-US"/>
    </w:rPr>
  </w:style>
  <w:style w:type="paragraph" w:customStyle="1" w:styleId="ConsPlusNormal">
    <w:name w:val="ConsPlusNormal"/>
    <w:uiPriority w:val="99"/>
    <w:rsid w:val="00434EF1"/>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rsid w:val="00434EF1"/>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434EF1"/>
    <w:pPr>
      <w:widowControl w:val="0"/>
      <w:autoSpaceDE w:val="0"/>
      <w:autoSpaceDN w:val="0"/>
      <w:adjustRightInd w:val="0"/>
    </w:pPr>
    <w:rPr>
      <w:rFonts w:ascii="Arial" w:hAnsi="Arial" w:cs="Arial"/>
      <w:b/>
      <w:bCs/>
      <w:sz w:val="20"/>
      <w:szCs w:val="20"/>
    </w:rPr>
  </w:style>
  <w:style w:type="paragraph" w:customStyle="1" w:styleId="ConsPlusCell">
    <w:name w:val="ConsPlusCell"/>
    <w:uiPriority w:val="99"/>
    <w:rsid w:val="00434EF1"/>
    <w:pPr>
      <w:widowControl w:val="0"/>
      <w:autoSpaceDE w:val="0"/>
      <w:autoSpaceDN w:val="0"/>
      <w:adjustRightInd w:val="0"/>
    </w:pPr>
    <w:rPr>
      <w:rFonts w:ascii="Courier New" w:hAnsi="Courier New" w:cs="Courier New"/>
      <w:sz w:val="20"/>
      <w:szCs w:val="20"/>
    </w:rPr>
  </w:style>
  <w:style w:type="paragraph" w:customStyle="1" w:styleId="ConsPlusDocList">
    <w:name w:val="ConsPlusDocList"/>
    <w:uiPriority w:val="99"/>
    <w:rsid w:val="00434EF1"/>
    <w:pPr>
      <w:widowControl w:val="0"/>
      <w:autoSpaceDE w:val="0"/>
      <w:autoSpaceDN w:val="0"/>
      <w:adjustRightInd w:val="0"/>
    </w:pPr>
    <w:rPr>
      <w:rFonts w:ascii="Courier New" w:hAnsi="Courier New" w:cs="Courier New"/>
      <w:sz w:val="20"/>
      <w:szCs w:val="20"/>
    </w:rPr>
  </w:style>
  <w:style w:type="paragraph" w:customStyle="1" w:styleId="ConsPlusTitlePage">
    <w:name w:val="ConsPlusTitlePage"/>
    <w:uiPriority w:val="99"/>
    <w:rsid w:val="00434EF1"/>
    <w:pPr>
      <w:widowControl w:val="0"/>
      <w:autoSpaceDE w:val="0"/>
      <w:autoSpaceDN w:val="0"/>
      <w:adjustRightInd w:val="0"/>
    </w:pPr>
    <w:rPr>
      <w:rFonts w:ascii="Tahoma" w:hAnsi="Tahoma" w:cs="Tahoma"/>
      <w:sz w:val="20"/>
      <w:szCs w:val="20"/>
    </w:rPr>
  </w:style>
  <w:style w:type="paragraph" w:customStyle="1" w:styleId="ConsPlusJurTerm">
    <w:name w:val="ConsPlusJurTerm"/>
    <w:uiPriority w:val="99"/>
    <w:rsid w:val="00434EF1"/>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rsid w:val="00434EF1"/>
    <w:pPr>
      <w:widowControl w:val="0"/>
      <w:autoSpaceDE w:val="0"/>
      <w:autoSpaceDN w:val="0"/>
      <w:adjustRightInd w:val="0"/>
    </w:pPr>
    <w:rPr>
      <w:rFonts w:ascii="Arial" w:hAnsi="Arial" w:cs="Arial"/>
      <w:sz w:val="20"/>
      <w:szCs w:val="20"/>
    </w:rPr>
  </w:style>
  <w:style w:type="paragraph" w:customStyle="1" w:styleId="ConsPlusTextList1">
    <w:name w:val="ConsPlusTextList1"/>
    <w:uiPriority w:val="99"/>
    <w:rsid w:val="00434EF1"/>
    <w:pPr>
      <w:widowControl w:val="0"/>
      <w:autoSpaceDE w:val="0"/>
      <w:autoSpaceDN w:val="0"/>
      <w:adjustRightInd w:val="0"/>
    </w:pPr>
    <w:rPr>
      <w:rFonts w:ascii="Arial" w:hAnsi="Arial" w:cs="Arial"/>
      <w:sz w:val="20"/>
      <w:szCs w:val="20"/>
    </w:rPr>
  </w:style>
  <w:style w:type="paragraph" w:customStyle="1" w:styleId="Iauiue">
    <w:name w:val="Iau?iue"/>
    <w:uiPriority w:val="99"/>
    <w:rsid w:val="00434EF1"/>
    <w:pPr>
      <w:widowControl w:val="0"/>
      <w:suppressAutoHyphens/>
    </w:pPr>
    <w:rPr>
      <w:rFonts w:ascii="Calibri" w:hAnsi="Calibri" w:cs="Calibri"/>
      <w:sz w:val="20"/>
      <w:szCs w:val="20"/>
      <w:lang w:eastAsia="zh-CN"/>
    </w:rPr>
  </w:style>
  <w:style w:type="character" w:customStyle="1" w:styleId="apple-converted-space">
    <w:name w:val="apple-converted-space"/>
    <w:basedOn w:val="DefaultParagraphFont"/>
    <w:uiPriority w:val="99"/>
    <w:rsid w:val="00434EF1"/>
    <w:rPr>
      <w:rFonts w:cs="Times New Roman"/>
    </w:rPr>
  </w:style>
  <w:style w:type="character" w:customStyle="1" w:styleId="WW8Num1z2">
    <w:name w:val="WW8Num1z2"/>
    <w:uiPriority w:val="99"/>
    <w:rsid w:val="00434EF1"/>
    <w:rPr>
      <w:rFonts w:ascii="Wingdings" w:hAnsi="Wingdings"/>
    </w:rPr>
  </w:style>
  <w:style w:type="table" w:styleId="TableGrid">
    <w:name w:val="Table Grid"/>
    <w:basedOn w:val="TableNormal"/>
    <w:uiPriority w:val="99"/>
    <w:rsid w:val="00434EF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693512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F84CA4F01368C57FDEAD615BC8EC6F1039C699C645C0A785B5999A2e4tBI" TargetMode="External"/><Relationship Id="rId21" Type="http://schemas.openxmlformats.org/officeDocument/2006/relationships/hyperlink" Target="consultantplus://offline/ref=5666E1F469F152F0EE7DB9CBFF001B76AB58310321B466D6D820B2ADEEA0D40E8C8B9A675F0A8DF4d4t9I" TargetMode="External"/><Relationship Id="rId42" Type="http://schemas.openxmlformats.org/officeDocument/2006/relationships/hyperlink" Target="consultantplus://offline/ref=5666E1F469F152F0EE7DB9CBFF001B76A85837032BBA66D6D820B2ADEEdAt0I" TargetMode="External"/><Relationship Id="rId63" Type="http://schemas.openxmlformats.org/officeDocument/2006/relationships/hyperlink" Target="consultantplus://offline/ref=5666E1F469F152F0EE7DB9CBFF001B76AB58350D21BD66D6D820B2ADEEA0D40E8C8B9A675F088DF1d4t5I" TargetMode="External"/><Relationship Id="rId84" Type="http://schemas.openxmlformats.org/officeDocument/2006/relationships/hyperlink" Target="consultantplus://offline/ref=5666E1F469F152F0EE7DB9CBFF001B76A050340424B63BDCD079BEAFdEt9I" TargetMode="External"/><Relationship Id="rId138" Type="http://schemas.openxmlformats.org/officeDocument/2006/relationships/hyperlink" Target="consultantplus://offline/ref=AF84CA4F01368C57FDEAC818AAE298FD0C9F369065575A2C095FCEFD1BF8F42DeDt2I" TargetMode="External"/><Relationship Id="rId159" Type="http://schemas.openxmlformats.org/officeDocument/2006/relationships/hyperlink" Target="consultantplus://offline/ref=AF84CA4F01368C57FDEAD615BC8EC6F10894689C62535772530095A04CeFt1I" TargetMode="External"/><Relationship Id="rId170" Type="http://schemas.openxmlformats.org/officeDocument/2006/relationships/hyperlink" Target="consultantplus://offline/ref=AF84CA4F01368C57FDEAD615BC8EC6F10B956F996A535772530095A04CeFt1I" TargetMode="External"/><Relationship Id="rId191" Type="http://schemas.openxmlformats.org/officeDocument/2006/relationships/hyperlink" Target="consultantplus://offline/ref=AF84CA4F01368C57FDEAD615BC8EC6F10D916E9C6B5C0A785B5999A2e4tBI" TargetMode="External"/><Relationship Id="rId205" Type="http://schemas.openxmlformats.org/officeDocument/2006/relationships/hyperlink" Target="consultantplus://offline/ref=AF84CA4F01368C57FDEAD615BC8EC6F10B9C6F9A6B525772530095A04CeFt1I" TargetMode="External"/><Relationship Id="rId226" Type="http://schemas.openxmlformats.org/officeDocument/2006/relationships/hyperlink" Target="garantf1://12077273.1000/" TargetMode="External"/><Relationship Id="rId247" Type="http://schemas.openxmlformats.org/officeDocument/2006/relationships/hyperlink" Target="garantf1://4079350.10000/" TargetMode="External"/><Relationship Id="rId107" Type="http://schemas.openxmlformats.org/officeDocument/2006/relationships/hyperlink" Target="consultantplus://offline/ref=5666E1F469F152F0EE7DB9CBFF001B76AB58330022BA66D6D820B2ADEEdAt0I" TargetMode="External"/><Relationship Id="rId268"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289" Type="http://schemas.openxmlformats.org/officeDocument/2006/relationships/image" Target="media/image6.png"/><Relationship Id="rId11" Type="http://schemas.openxmlformats.org/officeDocument/2006/relationships/hyperlink" Target="consultantplus://offline/ref=7C0151184AD7131DBD4D017E52C00ED19E90FDD39071B0EF49002A9B2D1F92B5DE0F31734E33005Fc1tFI" TargetMode="External"/><Relationship Id="rId32" Type="http://schemas.openxmlformats.org/officeDocument/2006/relationships/hyperlink" Target="consultantplus://offline/ref=5666E1F469F152F0EE7DB9CBFF001B76A8593C0522BB66D6D820B2ADEEA0D40E8C8B9A675F0A8DF4d4tEI" TargetMode="External"/><Relationship Id="rId53" Type="http://schemas.openxmlformats.org/officeDocument/2006/relationships/hyperlink" Target="consultantplus://offline/ref=5666E1F469F152F0EE7DB9CBFF001B76A851340521BA66D6D820B2ADEEA0D40E8C8B9A675F0A8DF4d4t9I" TargetMode="External"/><Relationship Id="rId74"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28" Type="http://schemas.openxmlformats.org/officeDocument/2006/relationships/hyperlink" Target="consultantplus://offline/ref=AF84CA4F01368C57FDEAD615BC8EC6F10B9D6E9E675E5772530095A04CeFt1I" TargetMode="External"/><Relationship Id="rId149" Type="http://schemas.openxmlformats.org/officeDocument/2006/relationships/hyperlink" Target="consultantplus://offline/ref=AF84CA4F01368C57FDEAD615BC8EC6F10B91689B6B575772530095A04CF1FE7A95BD9ED6124413D5e9tFI" TargetMode="External"/><Relationship Id="rId5" Type="http://schemas.openxmlformats.org/officeDocument/2006/relationships/image" Target="media/image1.jpeg"/><Relationship Id="rId95"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60" Type="http://schemas.openxmlformats.org/officeDocument/2006/relationships/hyperlink" Target="consultantplus://offline/ref=AF84CA4F01368C57FDEAD615BC8EC6F10894699C65535772530095A04CeFt1I" TargetMode="External"/><Relationship Id="rId181" Type="http://schemas.openxmlformats.org/officeDocument/2006/relationships/hyperlink" Target="consultantplus://offline/ref=AF84CA4F01368C57FDEAD615BC8EC6F10B9D6E9E6B555772530095A04CeFt1I" TargetMode="External"/><Relationship Id="rId216" Type="http://schemas.openxmlformats.org/officeDocument/2006/relationships/hyperlink" Target="consultantplus://offline/ref=AF84CA4F01368C57FDEAC818AAE298FD0C9F3690655754200E5FCEFD1BF8F42DeDt2I" TargetMode="External"/><Relationship Id="rId237" Type="http://schemas.openxmlformats.org/officeDocument/2006/relationships/hyperlink" Target="garantf1://12058477.0/" TargetMode="External"/><Relationship Id="rId258" Type="http://schemas.openxmlformats.org/officeDocument/2006/relationships/hyperlink" Target="consultantplus://offline/ref=841EB21F71F30E5926EC44B114B09A1C2610014EF5D373FA0B81E473f1tCI" TargetMode="External"/><Relationship Id="rId279"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22" Type="http://schemas.openxmlformats.org/officeDocument/2006/relationships/hyperlink" Target="consultantplus://offline/ref=5666E1F469F152F0EE7DB9CBFF001B76A85C320121BF66D6D820B2ADEEdAt0I" TargetMode="External"/><Relationship Id="rId43" Type="http://schemas.openxmlformats.org/officeDocument/2006/relationships/hyperlink" Target="consultantplus://offline/ref=5666E1F469F152F0EE7DB9CBFF001B76AA5A330321B63BDCD079BEAFE9AF8B198BC296665F0A8CdFt6I" TargetMode="External"/><Relationship Id="rId64"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18" Type="http://schemas.openxmlformats.org/officeDocument/2006/relationships/hyperlink" Target="consultantplus://offline/ref=AF84CA4F01368C57FDEAD615BC8EC6F108946E9862505772530095A04CeFt1I" TargetMode="External"/><Relationship Id="rId139" Type="http://schemas.openxmlformats.org/officeDocument/2006/relationships/hyperlink" Target="consultantplus://offline/ref=AF84CA4F01368C57FDEAD615BC8EC6F10B9D609E60545772530095A04CeFt1I" TargetMode="External"/><Relationship Id="rId290" Type="http://schemas.openxmlformats.org/officeDocument/2006/relationships/image" Target="media/image7.png"/><Relationship Id="rId85" Type="http://schemas.openxmlformats.org/officeDocument/2006/relationships/hyperlink" Target="consultantplus://offline/ref=5666E1F469F152F0EE7DB9CBFF001B76AB58330022BA66D6D820B2ADEEdAt0I" TargetMode="External"/><Relationship Id="rId150"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71" Type="http://schemas.openxmlformats.org/officeDocument/2006/relationships/hyperlink" Target="consultantplus://offline/ref=AF84CA4F01368C57FDEAD615BC8EC6F10894699D67565772530095A04CeFt1I" TargetMode="External"/><Relationship Id="rId192" Type="http://schemas.openxmlformats.org/officeDocument/2006/relationships/hyperlink" Target="consultantplus://offline/ref=AF84CA4F01368C57FDEAD615BC8EC6F10B966E9F645C0A785B5999A2e4tBI" TargetMode="External"/><Relationship Id="rId206" Type="http://schemas.openxmlformats.org/officeDocument/2006/relationships/hyperlink" Target="consultantplus://offline/ref=AF84CA4F01368C57FDEAD615BC8EC6F10B94699A6A575772530095A04CeFt1I" TargetMode="External"/><Relationship Id="rId227" Type="http://schemas.openxmlformats.org/officeDocument/2006/relationships/hyperlink" Target="garantf1://4077988.1000/" TargetMode="External"/><Relationship Id="rId248" Type="http://schemas.openxmlformats.org/officeDocument/2006/relationships/hyperlink" Target="garantf1://12030907.10000/" TargetMode="External"/><Relationship Id="rId269"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2" Type="http://schemas.openxmlformats.org/officeDocument/2006/relationships/hyperlink" Target="consultantplus://offline/ref=7C0151184AD7131DBD4D017E52C00ED19E97FFD49173B0EF49002A9B2D1F92B5DE0F31734E33005Fc1t8I" TargetMode="External"/><Relationship Id="rId33" Type="http://schemas.openxmlformats.org/officeDocument/2006/relationships/hyperlink" Target="consultantplus://offline/ref=5666E1F469F152F0EE7DB9CBFF001B76A85E360027BE66D6D820B2ADEEA0D40E8C8B9A675F0A8DF4d4t9I" TargetMode="External"/><Relationship Id="rId108" Type="http://schemas.openxmlformats.org/officeDocument/2006/relationships/hyperlink" Target="consultantplus://offline/ref=5666E1F469F152F0EE7DB9CBFF001B76A85B350123B63BDCD079BEAFE9AF8B198BC296665F0A8CdFt1I" TargetMode="External"/><Relationship Id="rId129" Type="http://schemas.openxmlformats.org/officeDocument/2006/relationships/hyperlink" Target="consultantplus://offline/ref=AF84CA4F01368C57FDEAD615BC8EC6F10B9C6D996B515772530095A04CF1FE7A95BD9ED6124413D5e9t4I" TargetMode="External"/><Relationship Id="rId280" Type="http://schemas.openxmlformats.org/officeDocument/2006/relationships/hyperlink" Target="consultantplus://offline/ref=841EB21F71F30E5926EC5ABC02DCC410271A5F47F1D82DAE5787B32C4C402BDA7D7FDAAD5D57734903523AfCt6I" TargetMode="External"/><Relationship Id="rId54"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75" Type="http://schemas.openxmlformats.org/officeDocument/2006/relationships/hyperlink" Target="consultantplus://offline/ref=5666E1F469F152F0EE7DB9CBFF001B76A85E360027BE66D6D820B2ADEEA0D40E8C8B9A675F0A8DF4d4t9I" TargetMode="External"/><Relationship Id="rId96"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40"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61" Type="http://schemas.openxmlformats.org/officeDocument/2006/relationships/hyperlink" Target="consultantplus://offline/ref=AF84CA4F01368C57FDEAD615BC8EC6F1089468946B515772530095A04CeFt1I" TargetMode="External"/><Relationship Id="rId182" Type="http://schemas.openxmlformats.org/officeDocument/2006/relationships/hyperlink" Target="consultantplus://offline/ref=AF84CA4F01368C57FDEAD615BC8EC6F10894689561535772530095A04CeFt1I" TargetMode="External"/><Relationship Id="rId217" Type="http://schemas.openxmlformats.org/officeDocument/2006/relationships/hyperlink" Target="consultantplus://offline/ref=AF84CA4F01368C57FDEAC818AAE298FD0C9F369066525F23065FCEFD1BF8F42DeDt2I" TargetMode="External"/><Relationship Id="rId6" Type="http://schemas.openxmlformats.org/officeDocument/2006/relationships/image" Target="media/image2.wmf"/><Relationship Id="rId238" Type="http://schemas.openxmlformats.org/officeDocument/2006/relationships/hyperlink" Target="garantf1://70314724.0/" TargetMode="External"/><Relationship Id="rId259" Type="http://schemas.openxmlformats.org/officeDocument/2006/relationships/hyperlink" Target="consultantplus://offline/ref=841EB21F71F30E5926EC44B114B09A1C26150248F6D373FA0B81E473f1tCI" TargetMode="External"/><Relationship Id="rId23" Type="http://schemas.openxmlformats.org/officeDocument/2006/relationships/hyperlink" Target="consultantplus://offline/ref=5666E1F469F152F0EE7DB9CBFF001B76AB58350323BA66D6D820B2ADEEdAt0I" TargetMode="External"/><Relationship Id="rId119" Type="http://schemas.openxmlformats.org/officeDocument/2006/relationships/hyperlink" Target="consultantplus://offline/ref=AF84CA4F01368C57FDEAD615BC8EC6F108946E9862505772530095A04CF1FE7A95BD9ED6124416DDe9t5I" TargetMode="External"/><Relationship Id="rId270"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291" Type="http://schemas.openxmlformats.org/officeDocument/2006/relationships/image" Target="media/image8.png"/><Relationship Id="rId44"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65" Type="http://schemas.openxmlformats.org/officeDocument/2006/relationships/hyperlink" Target="consultantplus://offline/ref=5666E1F469F152F0EE7DB9CBFF001B76AB58340D26BC66D6D820B2ADEEA0D40E8C8B9A675F0A8DF4d4tFI" TargetMode="External"/><Relationship Id="rId86" Type="http://schemas.openxmlformats.org/officeDocument/2006/relationships/hyperlink" Target="consultantplus://offline/ref=5666E1F469F152F0EE7DB9CBFF001B76A858340D2ABD66D6D820B2ADEEdAt0I" TargetMode="External"/><Relationship Id="rId130" Type="http://schemas.openxmlformats.org/officeDocument/2006/relationships/hyperlink" Target="consultantplus://offline/ref=AF84CA4F01368C57FDEAD615BC8EC6F10990689C655C0A785B5999A24BFEA16D92F492D7124412eDt3I" TargetMode="External"/><Relationship Id="rId151"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72" Type="http://schemas.openxmlformats.org/officeDocument/2006/relationships/hyperlink" Target="consultantplus://offline/ref=AF84CA4F01368C57FDEAD615BC8EC6F10B9D609462575772530095A04CeFt1I" TargetMode="External"/><Relationship Id="rId193" Type="http://schemas.openxmlformats.org/officeDocument/2006/relationships/hyperlink" Target="consultantplus://offline/ref=AF84CA4F01368C57FDEAD615BC8EC6F10B9D609E67565772530095A04CeFt1I" TargetMode="External"/><Relationship Id="rId207" Type="http://schemas.openxmlformats.org/officeDocument/2006/relationships/hyperlink" Target="consultantplus://offline/ref=AF84CA4F01368C57FDEAD615BC8EC6F10F91699A615C0A785B5999A2e4tBI" TargetMode="External"/><Relationship Id="rId228" Type="http://schemas.openxmlformats.org/officeDocument/2006/relationships/hyperlink" Target="garantf1://12026663.1000/" TargetMode="External"/><Relationship Id="rId249" Type="http://schemas.openxmlformats.org/officeDocument/2006/relationships/hyperlink" Target="garantf1://4078777.1000/" TargetMode="External"/><Relationship Id="rId13" Type="http://schemas.openxmlformats.org/officeDocument/2006/relationships/hyperlink" Target="consultantplus://offline/ref=7C0151184AD7131DBD4D017E52C00ED19E94FCD79D70B0EF49002A9B2D1F92B5DE0F31734E33005Ec1tFI" TargetMode="External"/><Relationship Id="rId109"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260" Type="http://schemas.openxmlformats.org/officeDocument/2006/relationships/hyperlink" Target="consultantplus://offline/ref=841EB21F71F30E5926EC44B114B09A1C29110849F3D373FA0B81E4731C467E9A3D798FEE195A72f4tBI" TargetMode="External"/><Relationship Id="rId281" Type="http://schemas.openxmlformats.org/officeDocument/2006/relationships/hyperlink" Target="consultantplus://offline/ref=841EB21F71F30E5926EC44B114B09A1C20110448F3DE2EF003D8E8711B49218D3A3083EF195A7248f0t5I" TargetMode="External"/><Relationship Id="rId34" Type="http://schemas.openxmlformats.org/officeDocument/2006/relationships/hyperlink" Target="consultantplus://offline/ref=5666E1F469F152F0EE7DB9CBFF001B76A85B350123B63BDCD079BEAFE9AF8B198BC296665F0A8CdFt1I" TargetMode="External"/><Relationship Id="rId50"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55" Type="http://schemas.openxmlformats.org/officeDocument/2006/relationships/hyperlink" Target="consultantplus://offline/ref=5666E1F469F152F0EE7DB9CBFF001B76A851320C23BA66D6D820B2ADEEdAt0I" TargetMode="External"/><Relationship Id="rId76" Type="http://schemas.openxmlformats.org/officeDocument/2006/relationships/hyperlink" Target="consultantplus://offline/ref=5666E1F469F152F0EE7DB9CBFF001B76AB58350D21BD66D6D820B2ADEEdAt0I" TargetMode="External"/><Relationship Id="rId97"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04" Type="http://schemas.openxmlformats.org/officeDocument/2006/relationships/hyperlink" Target="consultantplus://offline/ref=5666E1F469F152F0EE7DB9CBFF001B76A050310327B63BDCD079BEAFdEt9I" TargetMode="External"/><Relationship Id="rId120" Type="http://schemas.openxmlformats.org/officeDocument/2006/relationships/hyperlink" Target="consultantplus://offline/ref=AF84CA4F01368C57FDEAD615BC8EC6F108946E9862505772530095A04CF1FE7A95BD9ED6124416DDe9t5I" TargetMode="External"/><Relationship Id="rId125" Type="http://schemas.openxmlformats.org/officeDocument/2006/relationships/hyperlink" Target="consultantplus://offline/ref=AF84CA4F01368C57FDEAD615BC8EC6F1039C6C9B675C0A785B5999A2e4tBI" TargetMode="External"/><Relationship Id="rId141" Type="http://schemas.openxmlformats.org/officeDocument/2006/relationships/hyperlink" Target="consultantplus://offline/ref=AF84CA4F01368C57FDEAD615BC8EC6F10B936F9B60535772530095A04CeFt1I" TargetMode="External"/><Relationship Id="rId146" Type="http://schemas.openxmlformats.org/officeDocument/2006/relationships/hyperlink" Target="consultantplus://offline/ref=AF84CA4F01368C57FDEAD615BC8EC6F10894689561575772530095A04CF1FE7A95BD9ED6124415D0e9tCI" TargetMode="External"/><Relationship Id="rId167" Type="http://schemas.openxmlformats.org/officeDocument/2006/relationships/hyperlink" Target="consultantplus://offline/ref=AF84CA4F01368C57FDEAD615BC8EC6F10894689B63505772530095A04CeFt1I" TargetMode="External"/><Relationship Id="rId188" Type="http://schemas.openxmlformats.org/officeDocument/2006/relationships/hyperlink" Target="consultantplus://offline/ref=AF84CA4F01368C57FDEAD615BC8EC6F10894699C64555772530095A04CeFt1I" TargetMode="External"/><Relationship Id="rId7" Type="http://schemas.openxmlformats.org/officeDocument/2006/relationships/hyperlink" Target="consultantplus://offline/ref=7C0151184AD7131DBD4D017E52C00ED19E97FFD49173B0EF49002A9B2D1F92B5DE0F31734E33005Fc1t8I" TargetMode="External"/><Relationship Id="rId71"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92"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62" Type="http://schemas.openxmlformats.org/officeDocument/2006/relationships/hyperlink" Target="consultantplus://offline/ref=AF84CA4F01368C57FDEAD615BC8EC6F108946E9862505772530095A04CeFt1I" TargetMode="External"/><Relationship Id="rId183" Type="http://schemas.openxmlformats.org/officeDocument/2006/relationships/hyperlink" Target="consultantplus://offline/ref=AF84CA4F01368C57FDEAD615BC8EC6F10B9D6F9861535772530095A04CeFt1I" TargetMode="External"/><Relationship Id="rId213" Type="http://schemas.openxmlformats.org/officeDocument/2006/relationships/hyperlink" Target="consultantplus://offline/ref=AF84CA4F01368C57FDEAC818AAE298FD0C9F369065575A2C095FCEFD1BF8F42DeDt2I" TargetMode="External"/><Relationship Id="rId218" Type="http://schemas.openxmlformats.org/officeDocument/2006/relationships/hyperlink" Target="consultantplus://offline/ref=AF84CA4F01368C57FDEAC818AAE298FD0C9F369065535F200F5FCEFD1BF8F42DeDt2I" TargetMode="External"/><Relationship Id="rId234" Type="http://schemas.openxmlformats.org/officeDocument/2006/relationships/hyperlink" Target="garantf1://4079040.0/" TargetMode="External"/><Relationship Id="rId239" Type="http://schemas.openxmlformats.org/officeDocument/2006/relationships/hyperlink" Target="garantf1://12083577.0/" TargetMode="External"/><Relationship Id="rId2" Type="http://schemas.openxmlformats.org/officeDocument/2006/relationships/styles" Target="styles.xml"/><Relationship Id="rId29" Type="http://schemas.openxmlformats.org/officeDocument/2006/relationships/hyperlink" Target="consultantplus://offline/ref=5666E1F469F152F0EE7DB9CBFF001B76A85B320124BA66D6D820B2ADEEA0D40E8C8B9A675F0A8DF5d4t5I" TargetMode="External"/><Relationship Id="rId250" Type="http://schemas.openxmlformats.org/officeDocument/2006/relationships/hyperlink" Target="consultantplus://offline/ref=841EB21F71F30E5926EC44B114B09A1C23110542F6DF2EF003D8E8711B49218D3A3083EF195A7248f0t0I" TargetMode="External"/><Relationship Id="rId255" Type="http://schemas.openxmlformats.org/officeDocument/2006/relationships/hyperlink" Target="consultantplus://offline/ref=841EB21F71F30E5926EC44B114B09A1C26100548F5D373FA0B81E4731C467E9A3D798FEE195A73f4tAI" TargetMode="External"/><Relationship Id="rId271"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276"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292" Type="http://schemas.openxmlformats.org/officeDocument/2006/relationships/fontTable" Target="fontTable.xml"/><Relationship Id="rId24"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40" Type="http://schemas.openxmlformats.org/officeDocument/2006/relationships/hyperlink" Target="consultantplus://offline/ref=5666E1F469F152F0EE7DB9CBFF001B76A85E360027BE66D6D820B2ADEEA0D40E8C8B9A675F0A8DF4d4t9I" TargetMode="External"/><Relationship Id="rId45"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66" Type="http://schemas.openxmlformats.org/officeDocument/2006/relationships/hyperlink" Target="consultantplus://offline/ref=5666E1F469F152F0EE7DB9CBFF001B76A85E360027BE66D6D820B2ADEEA0D40E8C8B9A675F0A8DF4d4t9I" TargetMode="External"/><Relationship Id="rId87"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10" Type="http://schemas.openxmlformats.org/officeDocument/2006/relationships/hyperlink" Target="consultantplus://offline/ref=5666E1F469F152F0EE7DB9CBFF001B76AB58350422B966D6D820B2ADEEdAt0I" TargetMode="External"/><Relationship Id="rId115" Type="http://schemas.openxmlformats.org/officeDocument/2006/relationships/hyperlink" Target="consultantplus://offline/ref=AF84CA4F01368C57FDEAD615BC8EC6F10B926B9867545772530095A04CF1FE7A95BD9ED6124413D4e9t8I" TargetMode="External"/><Relationship Id="rId131" Type="http://schemas.openxmlformats.org/officeDocument/2006/relationships/hyperlink" Target="consultantplus://offline/ref=AF84CA4F01368C57FDEAD615BC8EC6F10894689C61565772530095A04CeFt1I" TargetMode="External"/><Relationship Id="rId136" Type="http://schemas.openxmlformats.org/officeDocument/2006/relationships/hyperlink" Target="consultantplus://offline/ref=AF84CA4F01368C57FDEAD615BC8EC6F10B956C9F62565772530095A04CeFt1I" TargetMode="External"/><Relationship Id="rId157" Type="http://schemas.openxmlformats.org/officeDocument/2006/relationships/hyperlink" Target="consultantplus://offline/ref=AF84CA4F01368C57FDEAD615BC8EC6F10894699C6B525772530095A04CeFt1I" TargetMode="External"/><Relationship Id="rId178" Type="http://schemas.openxmlformats.org/officeDocument/2006/relationships/hyperlink" Target="consultantplus://offline/ref=AF84CA4F01368C57FDEAD615BC8EC6F10B9C6B9D615E5772530095A04CeFt1I" TargetMode="External"/><Relationship Id="rId61" Type="http://schemas.openxmlformats.org/officeDocument/2006/relationships/hyperlink" Target="consultantplus://offline/ref=5666E1F469F152F0EE7DA7C6E96C457AAF536B0826B46587847FE9F0B9A9DE59dCtBI" TargetMode="External"/><Relationship Id="rId82" Type="http://schemas.openxmlformats.org/officeDocument/2006/relationships/hyperlink" Target="consultantplus://offline/ref=5666E1F469F152F0EE7DB9CBFF001B76A050340424B63BDCD079BEAFdEt9I" TargetMode="External"/><Relationship Id="rId152" Type="http://schemas.openxmlformats.org/officeDocument/2006/relationships/hyperlink" Target="consultantplus://offline/ref=AF84CA4F01368C57FDEAD615BC8EC6F10B956F9465565772530095A04CF1FE7A95BD9ED6124413D5e9tEI" TargetMode="External"/><Relationship Id="rId173" Type="http://schemas.openxmlformats.org/officeDocument/2006/relationships/hyperlink" Target="consultantplus://offline/ref=AF84CA4F01368C57FDEAD615BC8EC6F10B9D699A65505772530095A04CeFt1I" TargetMode="External"/><Relationship Id="rId194" Type="http://schemas.openxmlformats.org/officeDocument/2006/relationships/hyperlink" Target="consultantplus://offline/ref=AF84CA4F01368C57FDEAD615BC8EC6F10894609C67565772530095A04CeFt1I" TargetMode="External"/><Relationship Id="rId199" Type="http://schemas.openxmlformats.org/officeDocument/2006/relationships/hyperlink" Target="consultantplus://offline/ref=AF84CA4F01368C57FDEAD615BC8EC6F10B9D6F996A515772530095A04CeFt1I" TargetMode="External"/><Relationship Id="rId203" Type="http://schemas.openxmlformats.org/officeDocument/2006/relationships/hyperlink" Target="consultantplus://offline/ref=AF84CA4F01368C57FDEAD615BC8EC6F10B9D609E60545772530095A04CeFt1I" TargetMode="External"/><Relationship Id="rId208" Type="http://schemas.openxmlformats.org/officeDocument/2006/relationships/hyperlink" Target="consultantplus://offline/ref=AF84CA4F01368C57FDEAD615BC8EC6F10C966F9C655C0A785B5999A2e4tBI" TargetMode="External"/><Relationship Id="rId229" Type="http://schemas.openxmlformats.org/officeDocument/2006/relationships/hyperlink" Target="garantf1://4078817.0/" TargetMode="External"/><Relationship Id="rId19" Type="http://schemas.openxmlformats.org/officeDocument/2006/relationships/hyperlink" Target="consultantplus://offline/ref=5666E1F469F152F0EE7DB9CBFF001B76A85E360027BE66D6D820B2ADEEA0D40E8C8B9A675F0A8DF4d4t9I" TargetMode="External"/><Relationship Id="rId224" Type="http://schemas.openxmlformats.org/officeDocument/2006/relationships/hyperlink" Target="garantf1://12076082.10000/" TargetMode="External"/><Relationship Id="rId240" Type="http://schemas.openxmlformats.org/officeDocument/2006/relationships/hyperlink" Target="file:///C:\Documents%20and%20Settings\&#1040;&#1076;&#1084;&#1080;&#1085;&#1080;&#1089;&#1090;&#1088;&#1072;&#1090;&#1086;&#1088;\Users\Arhitector\Desktop\&#1053;&#1054;&#1056;&#1052;&#1040;&#1058;&#1048;&#1042;&#1067;%20&#1043;&#1056;&#1040;&#1044;&#1054;&#1057;&#1058;&#1056;&#1054;&#1048;&#1058;&#1045;&#1051;&#1068;&#1053;&#1054;&#1043;&#1054;%20&#1055;&#1056;&#1054;&#1045;&#1050;&#1058;&#1048;&#1056;&#1054;&#1042;&#1040;&#1053;&#1048;&#1071;\&#1055;&#1086;&#1089;&#1090;&#1072;&#1085;&#1086;&#1074;&#1083;&#1077;&#1085;&#1080;&#1077;.doc" TargetMode="External"/><Relationship Id="rId245" Type="http://schemas.openxmlformats.org/officeDocument/2006/relationships/hyperlink" Target="garantf1://12024072.1000/" TargetMode="External"/><Relationship Id="rId261" Type="http://schemas.openxmlformats.org/officeDocument/2006/relationships/hyperlink" Target="consultantplus://offline/ref=841EB21F71F30E5926EC44B114B09A1C20180749FCDA2EF003D8E8711Bf4t9I" TargetMode="External"/><Relationship Id="rId266" Type="http://schemas.openxmlformats.org/officeDocument/2006/relationships/hyperlink" Target="consultantplus://offline/ref=841EB21F71F30E5926EC44B114B09A1C23110143FCDE2EF003D8E8711B49218D3A3083E6f1t9I" TargetMode="External"/><Relationship Id="rId287" Type="http://schemas.openxmlformats.org/officeDocument/2006/relationships/image" Target="media/image4.png"/><Relationship Id="rId14" Type="http://schemas.openxmlformats.org/officeDocument/2006/relationships/hyperlink" Target="consultantplus://offline/ref=5666E1F469F152F0EE7DB9CBFF001B76AB58340424BF66D6D820B2ADEEA0D40E8C8B9A675F0A8CF4d4t9I" TargetMode="External"/><Relationship Id="rId30" Type="http://schemas.openxmlformats.org/officeDocument/2006/relationships/hyperlink" Target="consultantplus://offline/ref=5666E1F469F152F0EE7DB9CBFF001B76A85E360027BE66D6D820B2ADEEA0D40E8C8B9A675F0A8DF4d4t9I" TargetMode="External"/><Relationship Id="rId35" Type="http://schemas.openxmlformats.org/officeDocument/2006/relationships/hyperlink" Target="consultantplus://offline/ref=5666E1F469F152F0EE7DB9CBFF001B76A85E360027BE66D6D820B2ADEEA0D40E8C8B9A675F0A8DF4d4t9I" TargetMode="External"/><Relationship Id="rId56" Type="http://schemas.openxmlformats.org/officeDocument/2006/relationships/hyperlink" Target="consultantplus://offline/ref=5666E1F469F152F0EE7DB9CBFF001B76AB58350C2BBB66D6D820B2ADEEdAt0I" TargetMode="External"/><Relationship Id="rId77" Type="http://schemas.openxmlformats.org/officeDocument/2006/relationships/hyperlink" Target="consultantplus://offline/ref=5666E1F469F152F0EE7DB9CBFF001B76A85F360521B466D6D820B2ADEEdAt0I" TargetMode="External"/><Relationship Id="rId100"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05" Type="http://schemas.openxmlformats.org/officeDocument/2006/relationships/hyperlink" Target="consultantplus://offline/ref=5666E1F469F152F0EE7DB9CBFF001B76AB58340123BF66D6D820B2ADEEdAt0I" TargetMode="External"/><Relationship Id="rId126" Type="http://schemas.openxmlformats.org/officeDocument/2006/relationships/hyperlink" Target="consultantplus://offline/ref=AF84CA4F01368C57FDEAD615BC8EC6F10990689C655C0A785B5999A24BFEA16D92F492D7124412eDt3I" TargetMode="External"/><Relationship Id="rId147" Type="http://schemas.openxmlformats.org/officeDocument/2006/relationships/hyperlink" Target="consultantplus://offline/ref=AF84CA4F01368C57FDEAD615BC8EC6F10894689561575772530095A04CF1FE7A95BD9ED6124414D7e9t4I" TargetMode="External"/><Relationship Id="rId168" Type="http://schemas.openxmlformats.org/officeDocument/2006/relationships/hyperlink" Target="consultantplus://offline/ref=AF84CA4F01368C57FDEAD615BC8EC6F10B9C699B6A505772530095A04CeFt1I" TargetMode="External"/><Relationship Id="rId282"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8"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51"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72"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93"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98"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21" Type="http://schemas.openxmlformats.org/officeDocument/2006/relationships/hyperlink" Target="consultantplus://offline/ref=AF84CA4F01368C57FDEAD615BC8EC6F10B976899635C0A785B5999A24BFEA16D92F492D7124412eDt1I" TargetMode="External"/><Relationship Id="rId142"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63" Type="http://schemas.openxmlformats.org/officeDocument/2006/relationships/hyperlink" Target="consultantplus://offline/ref=AF84CA4F01368C57FDEAD615BC8EC6F10B9D6F9B61515772530095A04CeFt1I" TargetMode="External"/><Relationship Id="rId184" Type="http://schemas.openxmlformats.org/officeDocument/2006/relationships/hyperlink" Target="consultantplus://offline/ref=AF84CA4F01368C57FDEAD615BC8EC6F10B936B9D615E5772530095A04CeFt1I" TargetMode="External"/><Relationship Id="rId189" Type="http://schemas.openxmlformats.org/officeDocument/2006/relationships/hyperlink" Target="consultantplus://offline/ref=AF84CA4F01368C57FDEAD615BC8EC6F10B90609A625E5772530095A04CeFt1I" TargetMode="External"/><Relationship Id="rId219" Type="http://schemas.openxmlformats.org/officeDocument/2006/relationships/hyperlink" Target="consultantplus://offline/ref=AF84CA4F01368C57FDEAD615BC8EC6F10B926B9C6B515772530095A04CeFt1I" TargetMode="External"/><Relationship Id="rId3" Type="http://schemas.openxmlformats.org/officeDocument/2006/relationships/settings" Target="settings.xml"/><Relationship Id="rId214" Type="http://schemas.openxmlformats.org/officeDocument/2006/relationships/hyperlink" Target="consultantplus://offline/ref=AF84CA4F01368C57FDEAC818AAE298FD0C9F3690675154250C5FCEFD1BF8F42DeDt2I" TargetMode="External"/><Relationship Id="rId230" Type="http://schemas.openxmlformats.org/officeDocument/2006/relationships/hyperlink" Target="garantf1://4077334.0/" TargetMode="External"/><Relationship Id="rId235" Type="http://schemas.openxmlformats.org/officeDocument/2006/relationships/hyperlink" Target="garantf1://12031290.10000/" TargetMode="External"/><Relationship Id="rId251" Type="http://schemas.openxmlformats.org/officeDocument/2006/relationships/hyperlink" Target="consultantplus://offline/ref=841EB21F71F30E5926EC44B114B09A1C2311054CF2DD2EF003D8E8711B49218D3A3083EF195A7248f0t0I" TargetMode="External"/><Relationship Id="rId256" Type="http://schemas.openxmlformats.org/officeDocument/2006/relationships/hyperlink" Target="consultantplus://offline/ref=841EB21F71F30E5926EC44B114B09A1C29190642FCD373FA0B81E4731C467E9A3D798FEE195A73f4tEI" TargetMode="External"/><Relationship Id="rId277"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25"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46"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67" Type="http://schemas.openxmlformats.org/officeDocument/2006/relationships/hyperlink" Target="consultantplus://offline/ref=5666E1F469F152F0EE7DB9CBFF001B76AB58350D25BC66D6D820B2ADEEdAt0I" TargetMode="External"/><Relationship Id="rId116" Type="http://schemas.openxmlformats.org/officeDocument/2006/relationships/hyperlink" Target="consultantplus://offline/ref=AF84CA4F01368C57FDEAD615BC8EC6F108946E9862505772530095A04CeFt1I" TargetMode="External"/><Relationship Id="rId137" Type="http://schemas.openxmlformats.org/officeDocument/2006/relationships/hyperlink" Target="consultantplus://offline/ref=AF84CA4F01368C57FDEAD615BC8EC6F1089468946B515772530095A04CeFt1I" TargetMode="External"/><Relationship Id="rId158" Type="http://schemas.openxmlformats.org/officeDocument/2006/relationships/hyperlink" Target="consultantplus://offline/ref=AF84CA4F01368C57FDEAD615BC8EC6F10894689565565772530095A04CeFt1I" TargetMode="External"/><Relationship Id="rId272"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293" Type="http://schemas.openxmlformats.org/officeDocument/2006/relationships/theme" Target="theme/theme1.xml"/><Relationship Id="rId20"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41" Type="http://schemas.openxmlformats.org/officeDocument/2006/relationships/hyperlink" Target="consultantplus://offline/ref=5666E1F469F152F0EE7DB9CBFF001B76AA5A330321B63BDCD079BEAFE9AF8B198BC296665F0A8CdFt6I" TargetMode="External"/><Relationship Id="rId62" Type="http://schemas.openxmlformats.org/officeDocument/2006/relationships/hyperlink" Target="consultantplus://offline/ref=5666E1F469F152F0EE7DB9CBFF001B76A85E360027BE66D6D820B2ADEEA0D40E8C8B9A675F0A8DF4d4t9I" TargetMode="External"/><Relationship Id="rId83" Type="http://schemas.openxmlformats.org/officeDocument/2006/relationships/hyperlink" Target="consultantplus://offline/ref=5666E1F469F152F0EE7DB9CBFF001B76A050340424B63BDCD079BEAFdEt9I" TargetMode="External"/><Relationship Id="rId88"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11" Type="http://schemas.openxmlformats.org/officeDocument/2006/relationships/hyperlink" Target="consultantplus://offline/ref=5666E1F469F152F0EE7DB9CBFF001B76A851320321BB66D6D820B2ADEEdAt0I" TargetMode="External"/><Relationship Id="rId132" Type="http://schemas.openxmlformats.org/officeDocument/2006/relationships/hyperlink" Target="consultantplus://offline/ref=AF84CA4F01368C57FDEAD615BC8EC6F10B956F996A535772530095A04CeFt1I" TargetMode="External"/><Relationship Id="rId153"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74" Type="http://schemas.openxmlformats.org/officeDocument/2006/relationships/hyperlink" Target="consultantplus://offline/ref=AF84CA4F01368C57FDEAD615BC8EC6F10894689460565772530095A04CeFt1I" TargetMode="External"/><Relationship Id="rId179" Type="http://schemas.openxmlformats.org/officeDocument/2006/relationships/hyperlink" Target="consultantplus://offline/ref=AF84CA4F01368C57FDEAD615BC8EC6F10894689B6B565772530095A04CeFt1I" TargetMode="External"/><Relationship Id="rId195" Type="http://schemas.openxmlformats.org/officeDocument/2006/relationships/hyperlink" Target="consultantplus://offline/ref=AF84CA4F01368C57FDEAD615BC8EC6F1029C6F9C635C0A785B5999A2e4tBI" TargetMode="External"/><Relationship Id="rId209" Type="http://schemas.openxmlformats.org/officeDocument/2006/relationships/hyperlink" Target="consultantplus://offline/ref=AF84CA4F01368C57FDEAD615BC8EC6F10B926D9F6A545772530095A04CeFt1I" TargetMode="External"/><Relationship Id="rId190" Type="http://schemas.openxmlformats.org/officeDocument/2006/relationships/hyperlink" Target="consultantplus://offline/ref=AF84CA4F01368C57FDEAD615BC8EC6F10C9C6B95635C0A785B5999A2e4tBI" TargetMode="External"/><Relationship Id="rId204" Type="http://schemas.openxmlformats.org/officeDocument/2006/relationships/hyperlink" Target="consultantplus://offline/ref=AF84CA4F01368C57FDEAD615BC8EC6F108946C9B615E5772530095A04CeFt1I" TargetMode="External"/><Relationship Id="rId220" Type="http://schemas.openxmlformats.org/officeDocument/2006/relationships/hyperlink" Target="consultantplus://offline/ref=AF84CA4F01368C57FDEAD615BC8EC6F10B956F9465565772530095A04CF1FE7A95BD9ED6124413D5e9tEI" TargetMode="External"/><Relationship Id="rId225" Type="http://schemas.openxmlformats.org/officeDocument/2006/relationships/hyperlink" Target="garantf1://12089475.0/" TargetMode="External"/><Relationship Id="rId241" Type="http://schemas.openxmlformats.org/officeDocument/2006/relationships/hyperlink" Target="garantf1://4078906.1000/" TargetMode="External"/><Relationship Id="rId246" Type="http://schemas.openxmlformats.org/officeDocument/2006/relationships/hyperlink" Target="garantf1://12023803.1000/" TargetMode="External"/><Relationship Id="rId267"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288" Type="http://schemas.openxmlformats.org/officeDocument/2006/relationships/image" Target="media/image5.png"/><Relationship Id="rId15"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36" Type="http://schemas.openxmlformats.org/officeDocument/2006/relationships/hyperlink" Target="consultantplus://offline/ref=5666E1F469F152F0EE7DB9CBFF001B76AE59350122B63BDCD079BEAFdEt9I" TargetMode="External"/><Relationship Id="rId57" Type="http://schemas.openxmlformats.org/officeDocument/2006/relationships/hyperlink" Target="consultantplus://offline/ref=5666E1F469F152F0EE7DB9CBFF001B76A851320C23BA66D6D820B2ADEEdAt0I" TargetMode="External"/><Relationship Id="rId106"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27" Type="http://schemas.openxmlformats.org/officeDocument/2006/relationships/hyperlink" Target="consultantplus://offline/ref=AF84CA4F01368C57FDEAD615BC8EC6F10B9D6E9E675E5772530095A04CF1FE7A95BD9ED6124413D7e9t9I" TargetMode="External"/><Relationship Id="rId262" Type="http://schemas.openxmlformats.org/officeDocument/2006/relationships/hyperlink" Target="consultantplus://offline/ref=841EB21F71F30E5926EC44B114B09A1C23110143FCDE2EF003D8E8711Bf4t9I" TargetMode="External"/><Relationship Id="rId283"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0" Type="http://schemas.openxmlformats.org/officeDocument/2006/relationships/hyperlink" Target="consultantplus://offline/ref=7C0151184AD7131DBD4D017E52C00ED19D91FCD99770B0EF49002A9B2Dc1tFI" TargetMode="External"/><Relationship Id="rId31" Type="http://schemas.openxmlformats.org/officeDocument/2006/relationships/hyperlink" Target="consultantplus://offline/ref=5666E1F469F152F0EE7DB9CBFF001B76AB58340527BC66D6D820B2ADEEdAt0I" TargetMode="External"/><Relationship Id="rId52"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73"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78" Type="http://schemas.openxmlformats.org/officeDocument/2006/relationships/hyperlink" Target="consultantplus://offline/ref=5666E1F469F152F0EE7DB9CBFF001B76A85B350123B63BDCD079BEAFE9AF8B198BC296665F0A8CdFt1I" TargetMode="External"/><Relationship Id="rId94"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99"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01"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22" Type="http://schemas.openxmlformats.org/officeDocument/2006/relationships/hyperlink" Target="consultantplus://offline/ref=AF84CA4F01368C57FDEAC818AAE298FD0C9F3690655754200E5FCEFD1BF8F42DeDt2I" TargetMode="External"/><Relationship Id="rId143"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48"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64" Type="http://schemas.openxmlformats.org/officeDocument/2006/relationships/hyperlink" Target="consultantplus://offline/ref=AF84CA4F01368C57FDEAD615BC8EC6F10894699963555772530095A04CeFt1I" TargetMode="External"/><Relationship Id="rId169" Type="http://schemas.openxmlformats.org/officeDocument/2006/relationships/hyperlink" Target="consultantplus://offline/ref=AF84CA4F01368C57FDEAD615BC8EC6F1089468946A515772530095A04CeFt1I" TargetMode="External"/><Relationship Id="rId185" Type="http://schemas.openxmlformats.org/officeDocument/2006/relationships/hyperlink" Target="consultantplus://offline/ref=AF84CA4F01368C57FDEAD615BC8EC6F10B936B9D60525772530095A04CeFt1I" TargetMode="External"/><Relationship Id="rId4" Type="http://schemas.openxmlformats.org/officeDocument/2006/relationships/webSettings" Target="webSettings.xml"/><Relationship Id="rId9"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80" Type="http://schemas.openxmlformats.org/officeDocument/2006/relationships/hyperlink" Target="consultantplus://offline/ref=AF84CA4F01368C57FDEAD615BC8EC6F10B9D6E9E675E5772530095A04CeFt1I" TargetMode="External"/><Relationship Id="rId210" Type="http://schemas.openxmlformats.org/officeDocument/2006/relationships/hyperlink" Target="consultantplus://offline/ref=AF84CA4F01368C57FDEAC818AAE298FD0C9F369065565E240C5FCEFD1BF8F42DeDt2I" TargetMode="External"/><Relationship Id="rId215" Type="http://schemas.openxmlformats.org/officeDocument/2006/relationships/hyperlink" Target="consultantplus://offline/ref=AF84CA4F01368C57FDEAC818AAE298FD0C9F36906657542C075FCEFD1BF8F42DeDt2I" TargetMode="External"/><Relationship Id="rId236" Type="http://schemas.openxmlformats.org/officeDocument/2006/relationships/hyperlink" Target="garantf1://12024767.1000/" TargetMode="External"/><Relationship Id="rId257" Type="http://schemas.openxmlformats.org/officeDocument/2006/relationships/hyperlink" Target="consultantplus://offline/ref=841EB21F71F30E5926EC44B114B09A1C2010064CF4DD2EF003D8E8711Bf4t9I" TargetMode="External"/><Relationship Id="rId278"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26"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231" Type="http://schemas.openxmlformats.org/officeDocument/2006/relationships/hyperlink" Target="garantf1://12023011.1000/" TargetMode="External"/><Relationship Id="rId252" Type="http://schemas.openxmlformats.org/officeDocument/2006/relationships/hyperlink" Target="consultantplus://offline/ref=841EB21F71F30E5926EC44B114B09A1C24190243F7D373FA0B81E4731C467E9A3D798FEE195A73f4tAI" TargetMode="External"/><Relationship Id="rId273"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47" Type="http://schemas.openxmlformats.org/officeDocument/2006/relationships/hyperlink" Target="consultantplus://offline/ref=5666E1F469F152F0EE7DB9CBFF001B76A85F360520B866D6D820B2ADEEdAt0I" TargetMode="External"/><Relationship Id="rId68"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89"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12" Type="http://schemas.openxmlformats.org/officeDocument/2006/relationships/hyperlink" Target="consultantplus://offline/ref=5666E1F469F152F0EE7DB9CBFF001B76AB58330022BA66D6D820B2ADEEdAt0I" TargetMode="External"/><Relationship Id="rId133" Type="http://schemas.openxmlformats.org/officeDocument/2006/relationships/hyperlink" Target="consultantplus://offline/ref=AF84CA4F01368C57FDEAD615BC8EC6F10B9D699A65505772530095A04CeFt1I" TargetMode="External"/><Relationship Id="rId154"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75" Type="http://schemas.openxmlformats.org/officeDocument/2006/relationships/hyperlink" Target="consultantplus://offline/ref=AF84CA4F01368C57FDEAD615BC8EC6F10894689B635E5772530095A04CeFt1I" TargetMode="External"/><Relationship Id="rId196" Type="http://schemas.openxmlformats.org/officeDocument/2006/relationships/hyperlink" Target="consultantplus://offline/ref=AF84CA4F01368C57FDEAD615BC8EC6F10B956C9F62565772530095A04CeFt1I" TargetMode="External"/><Relationship Id="rId200" Type="http://schemas.openxmlformats.org/officeDocument/2006/relationships/hyperlink" Target="consultantplus://offline/ref=AF84CA4F01368C57FDEAD615BC8EC6F10B976F9964505772530095A04CeFt1I" TargetMode="External"/><Relationship Id="rId16"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221" Type="http://schemas.openxmlformats.org/officeDocument/2006/relationships/hyperlink" Target="consultantplus://offline/ref=AF84CA4F01368C57FDEAD615BC8EC6F109966E9B615C0A785B5999A24BFEA16D92F492D7124412eDt6I" TargetMode="External"/><Relationship Id="rId242" Type="http://schemas.openxmlformats.org/officeDocument/2006/relationships/hyperlink" Target="garantf1://4088851.1000/" TargetMode="External"/><Relationship Id="rId263" Type="http://schemas.openxmlformats.org/officeDocument/2006/relationships/hyperlink" Target="consultantplus://offline/ref=841EB21F71F30E5926EC44B114B09A1C23110143FCDE2EF003D8E8711Bf4t9I" TargetMode="External"/><Relationship Id="rId284"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37" Type="http://schemas.openxmlformats.org/officeDocument/2006/relationships/hyperlink" Target="consultantplus://offline/ref=5666E1F469F152F0EE7DB9CBFF001B76AB58350323B466D6D820B2ADEEdAt0I" TargetMode="External"/><Relationship Id="rId58" Type="http://schemas.openxmlformats.org/officeDocument/2006/relationships/hyperlink" Target="consultantplus://offline/ref=5666E1F469F152F0EE7DB9CBFF001B76AB58350C2ABB66D6D820B2ADEEdAt0I" TargetMode="External"/><Relationship Id="rId79" Type="http://schemas.openxmlformats.org/officeDocument/2006/relationships/hyperlink" Target="consultantplus://offline/ref=5666E1F469F152F0EE7DB9CBFF001B76A85E360027BE66D6D820B2ADEEA0D40E8C8B9A675F0A8DF4d4t9I" TargetMode="External"/><Relationship Id="rId102"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23" Type="http://schemas.openxmlformats.org/officeDocument/2006/relationships/hyperlink" Target="consultantplus://offline/ref=AF84CA4F01368C57FDEAD615BC8EC6F10C9D699A605C0A785B5999A24BFEA16D92F492D7124412eDt2I" TargetMode="External"/><Relationship Id="rId144"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90"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65" Type="http://schemas.openxmlformats.org/officeDocument/2006/relationships/hyperlink" Target="consultantplus://offline/ref=AF84CA4F01368C57FDEAD615BC8EC6F10894689C61565772530095A04CeFt1I" TargetMode="External"/><Relationship Id="rId186" Type="http://schemas.openxmlformats.org/officeDocument/2006/relationships/hyperlink" Target="consultantplus://offline/ref=AF84CA4F01368C57FDEAD615BC8EC6F10B9D6F9463505772530095A04CeFt1I" TargetMode="External"/><Relationship Id="rId211" Type="http://schemas.openxmlformats.org/officeDocument/2006/relationships/hyperlink" Target="consultantplus://offline/ref=AF84CA4F01368C57FDEAC818AAE298FD0C9F369067545A20085FCEFD1BF8F42DeDt2I" TargetMode="External"/><Relationship Id="rId232" Type="http://schemas.openxmlformats.org/officeDocument/2006/relationships/hyperlink" Target="garantf1://4079179.1000/" TargetMode="External"/><Relationship Id="rId253" Type="http://schemas.openxmlformats.org/officeDocument/2006/relationships/hyperlink" Target="consultantplus://offline/ref=841EB21F71F30E5926EC44B114B09A1C20140943FDDA2EF003D8E8711B49218D3A3083EF195A7248f0t4I" TargetMode="External"/><Relationship Id="rId274"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27" Type="http://schemas.openxmlformats.org/officeDocument/2006/relationships/hyperlink" Target="consultantplus://offline/ref=5666E1F469F152F0EE7DB9CBFF001B76A050310327B63BDCD079BEAFdEt9I" TargetMode="External"/><Relationship Id="rId48" Type="http://schemas.openxmlformats.org/officeDocument/2006/relationships/hyperlink" Target="consultantplus://offline/ref=5666E1F469F152F0EE7DA7C6E96C457AAF536B0826BD65888C7FE9F0B9A9DE59dCtBI" TargetMode="External"/><Relationship Id="rId69"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13" Type="http://schemas.openxmlformats.org/officeDocument/2006/relationships/hyperlink" Target="consultantplus://offline/ref=5666E1F469F152F0EE7DB9CBFF001B76AE5D33042BB63BDCD079BEAFdEt9I" TargetMode="External"/><Relationship Id="rId134" Type="http://schemas.openxmlformats.org/officeDocument/2006/relationships/hyperlink" Target="consultantplus://offline/ref=AF84CA4F01368C57FDEAC818AAE298FD0C9F369065565E240C5FCEFD1BF8F42DeDt2I" TargetMode="External"/><Relationship Id="rId80" Type="http://schemas.openxmlformats.org/officeDocument/2006/relationships/hyperlink" Target="consultantplus://offline/ref=5666E1F469F152F0EE7DB9CBFF001B76A050340424B63BDCD079BEAFdEt9I" TargetMode="External"/><Relationship Id="rId155" Type="http://schemas.openxmlformats.org/officeDocument/2006/relationships/hyperlink" Target="consultantplus://offline/ref=AF84CA4F01368C57FDEAD615BC8EC6F10B9C699B6A505772530095A04CeFt1I" TargetMode="External"/><Relationship Id="rId176" Type="http://schemas.openxmlformats.org/officeDocument/2006/relationships/hyperlink" Target="consultantplus://offline/ref=AF84CA4F01368C57FDEAD615BC8EC6F10894699C64515772530095A04CeFt1I" TargetMode="External"/><Relationship Id="rId197" Type="http://schemas.openxmlformats.org/officeDocument/2006/relationships/hyperlink" Target="consultantplus://offline/ref=AF84CA4F01368C57FDEAD615BC8EC6F10B9C6D996B515772530095A04CeFt1I" TargetMode="External"/><Relationship Id="rId201" Type="http://schemas.openxmlformats.org/officeDocument/2006/relationships/hyperlink" Target="consultantplus://offline/ref=AF84CA4F01368C57FDEAD615BC8EC6F10B946D9F64515772530095A04CeFt1I" TargetMode="External"/><Relationship Id="rId222" Type="http://schemas.openxmlformats.org/officeDocument/2006/relationships/hyperlink" Target="consultantplus://offline/ref=AF84CA4F01368C57FDEAD615BC8EC6F10B91689B6B575772530095A04CF1FE7A95BD9ED6124413D5e9tFI" TargetMode="External"/><Relationship Id="rId243" Type="http://schemas.openxmlformats.org/officeDocument/2006/relationships/hyperlink" Target="garantf1://2056876.0/" TargetMode="External"/><Relationship Id="rId264" Type="http://schemas.openxmlformats.org/officeDocument/2006/relationships/hyperlink" Target="consultantplus://offline/ref=841EB21F71F30E5926EC44B114B09A1C23110143FCDE2EF003D8E8711B49218D3A3083EF195B724Cf0t4I" TargetMode="External"/><Relationship Id="rId285"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7" Type="http://schemas.openxmlformats.org/officeDocument/2006/relationships/hyperlink" Target="consultantplus://offline/ref=5666E1F469F152F0EE7DB9CBFF001B76A8513D0C22BD66D6D820B2ADEEdAt0I" TargetMode="External"/><Relationship Id="rId38" Type="http://schemas.openxmlformats.org/officeDocument/2006/relationships/hyperlink" Target="consultantplus://offline/ref=5666E1F469F152F0EE7DB9CBFF001B76AD5A37072BB63BDCD079BEAFdEt9I" TargetMode="External"/><Relationship Id="rId59" Type="http://schemas.openxmlformats.org/officeDocument/2006/relationships/hyperlink" Target="consultantplus://offline/ref=5666E1F469F152F0EE7DB9CBFF001B76A859340323B466D6D820B2ADEEdAt0I" TargetMode="External"/><Relationship Id="rId103"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24" Type="http://schemas.openxmlformats.org/officeDocument/2006/relationships/hyperlink" Target="consultantplus://offline/ref=AF84CA4F01368C57FDEAD615BC8EC6F10B946A9F62535772530095A04CeFt1I" TargetMode="External"/><Relationship Id="rId70"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91"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145" Type="http://schemas.openxmlformats.org/officeDocument/2006/relationships/hyperlink" Target="consultantplus://offline/ref=AF84CA4F01368C57FDEAD615BC8EC6F10894689561575772530095A04CeFt1I" TargetMode="External"/><Relationship Id="rId166" Type="http://schemas.openxmlformats.org/officeDocument/2006/relationships/hyperlink" Target="consultantplus://offline/ref=AF84CA4F01368C57FDEAD615BC8EC6F10B916E956B535772530095A04CeFt1I" TargetMode="External"/><Relationship Id="rId187" Type="http://schemas.openxmlformats.org/officeDocument/2006/relationships/hyperlink" Target="consultantplus://offline/ref=AF84CA4F01368C57FDEAD615BC8EC6F10894689561575772530095A04CeFt1I" TargetMode="External"/><Relationship Id="rId1" Type="http://schemas.openxmlformats.org/officeDocument/2006/relationships/numbering" Target="numbering.xml"/><Relationship Id="rId212" Type="http://schemas.openxmlformats.org/officeDocument/2006/relationships/hyperlink" Target="consultantplus://offline/ref=AF84CA4F01368C57FDEAC818AAE298FD0C9F36906652552C065FCEFD1BF8F42DeDt2I" TargetMode="External"/><Relationship Id="rId233" Type="http://schemas.openxmlformats.org/officeDocument/2006/relationships/hyperlink" Target="garantf1://4079201.0/" TargetMode="External"/><Relationship Id="rId254" Type="http://schemas.openxmlformats.org/officeDocument/2006/relationships/hyperlink" Target="consultantplus://offline/ref=841EB21F71F30E5926EC44B114B09A1C2311094BF0DA2EF003D8E8711B49218D3A3083EF195A7248f0tAI" TargetMode="External"/><Relationship Id="rId28" Type="http://schemas.openxmlformats.org/officeDocument/2006/relationships/hyperlink" Target="consultantplus://offline/ref=5666E1F469F152F0EE7DB9CBFF001B76AB58350323BA66D6D820B2ADEEdAt0I" TargetMode="External"/><Relationship Id="rId49" Type="http://schemas.openxmlformats.org/officeDocument/2006/relationships/hyperlink" Target="consultantplus://offline/ref=5666E1F469F152F0EE7DB9CBFF001B76A850300227BA66D6D820B2ADEEA0D40E8C8B9A675F0A8DF4d4t8I" TargetMode="External"/><Relationship Id="rId114" Type="http://schemas.openxmlformats.org/officeDocument/2006/relationships/hyperlink" Target="consultantplus://offline/ref=AF84CA4F01368C57FDEAD615BC8EC6F10B926B9867545772530095A04CF1FE7A95BD9ED6124413D4e9t8I" TargetMode="External"/><Relationship Id="rId275" Type="http://schemas.openxmlformats.org/officeDocument/2006/relationships/hyperlink" Target="file:///C:\Documents%20and%20Settings\&#1040;&#1076;&#1084;&#1080;&#1085;&#1080;&#1089;&#1090;&#1088;&#1072;&#1090;&#1086;&#1088;\&#1052;&#1086;&#1080;%20&#1076;&#1086;&#1082;&#1091;&#1084;&#1077;&#1085;&#1090;&#1099;\&#1057;&#1077;&#1089;&#1089;&#1080;&#1103;\&#1089;&#1077;&#1089;&#1089;&#1080;&#1080;%202017%20&#1075;&#1086;&#1076;\19.10.2017%20&#1075;&#1086;&#1076;.doc" TargetMode="External"/><Relationship Id="rId60" Type="http://schemas.openxmlformats.org/officeDocument/2006/relationships/hyperlink" Target="consultantplus://offline/ref=5666E1F469F152F0EE7DB9CBFF001B76A85132012ABB66D6D820B2ADEEdAt0I" TargetMode="External"/><Relationship Id="rId81" Type="http://schemas.openxmlformats.org/officeDocument/2006/relationships/hyperlink" Target="consultantplus://offline/ref=5666E1F469F152F0EE7DB9CBFF001B76AB58330022BA66D6D820B2ADEEdAt0I" TargetMode="External"/><Relationship Id="rId135" Type="http://schemas.openxmlformats.org/officeDocument/2006/relationships/hyperlink" Target="consultantplus://offline/ref=AF84CA4F01368C57FDEAD615BC8EC6F10C966F9C655C0A785B5999A24BFEA16D92F492D7124412eDt6I" TargetMode="External"/><Relationship Id="rId156" Type="http://schemas.openxmlformats.org/officeDocument/2006/relationships/hyperlink" Target="consultantplus://offline/ref=AF84CA4F01368C57FDEAD615BC8EC6F108946C9B60535772530095A04CF1FE7A95BD9ED6124413D4e9t9I" TargetMode="External"/><Relationship Id="rId177" Type="http://schemas.openxmlformats.org/officeDocument/2006/relationships/hyperlink" Target="consultantplus://offline/ref=AF84CA4F01368C57FDEAD615BC8EC6F10894689567555772530095A04CeFt1I" TargetMode="External"/><Relationship Id="rId198" Type="http://schemas.openxmlformats.org/officeDocument/2006/relationships/hyperlink" Target="consultantplus://offline/ref=AF84CA4F01368C57FDEAD615BC8EC6F10B95699B635E5772530095A04CeFt1I" TargetMode="External"/><Relationship Id="rId202" Type="http://schemas.openxmlformats.org/officeDocument/2006/relationships/hyperlink" Target="consultantplus://offline/ref=AF84CA4F01368C57FDEAD615BC8EC6F10B966C9F60545772530095A04CeFt1I" TargetMode="External"/><Relationship Id="rId223" Type="http://schemas.openxmlformats.org/officeDocument/2006/relationships/hyperlink" Target="consultantplus://offline/ref=AF84CA4F01368C57FDEAD615BC8EC6F1039D60986A5C0A785B5999A2e4tBI" TargetMode="External"/><Relationship Id="rId244" Type="http://schemas.openxmlformats.org/officeDocument/2006/relationships/hyperlink" Target="garantf1://4074553.0/" TargetMode="External"/><Relationship Id="rId18" Type="http://schemas.openxmlformats.org/officeDocument/2006/relationships/hyperlink" Target="consultantplus://offline/ref=5666E1F469F152F0EE7DB9CBFF001B76A85E360027BE66D6D820B2ADEEA0D40E8C8B9A675F0A8DF4d4t9I" TargetMode="External"/><Relationship Id="rId39" Type="http://schemas.openxmlformats.org/officeDocument/2006/relationships/hyperlink" Target="consultantplus://offline/ref=5666E1F469F152F0EE7DB9CBFF001B76AA5A330321B63BDCD079BEAFE9AF8B198BC296665F0A8CdFt6I" TargetMode="External"/><Relationship Id="rId265" Type="http://schemas.openxmlformats.org/officeDocument/2006/relationships/hyperlink" Target="consultantplus://offline/ref=841EB21F71F30E5926EC44B114B09A1C23110143FCDE2EF003D8E8711B49218D3A3083EDf1t1I" TargetMode="External"/><Relationship Id="rId28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148</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XTreme</dc:creator>
  <cp:keywords/>
  <dc:description/>
  <cp:lastModifiedBy>Mail</cp:lastModifiedBy>
  <cp:revision>2</cp:revision>
  <dcterms:created xsi:type="dcterms:W3CDTF">2017-10-20T05:38:00Z</dcterms:created>
  <dcterms:modified xsi:type="dcterms:W3CDTF">2017-10-20T05:38:00Z</dcterms:modified>
</cp:coreProperties>
</file>